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p>
    <w:p>
      <w:pPr>
        <w:pStyle w:val="5"/>
        <w:spacing w:before="0" w:line="381" w:lineRule="exact"/>
        <w:rPr>
          <w:sz w:val="32"/>
          <w:szCs w:val="32"/>
          <w:lang w:eastAsia="zh-CN"/>
        </w:rPr>
      </w:pPr>
      <w:r>
        <w:rPr>
          <w:sz w:val="32"/>
          <w:szCs w:val="32"/>
          <w:lang w:eastAsia="zh-CN"/>
        </w:rPr>
        <w:t>附件 3：</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jc w:val="center"/>
        <w:textAlignment w:val="auto"/>
        <w:rPr>
          <w:rFonts w:ascii="黑体" w:hAnsi="黑体" w:eastAsia="黑体"/>
          <w:b w:val="0"/>
          <w:color w:val="000000" w:themeColor="text1"/>
          <w:lang w:eastAsia="zh-CN"/>
          <w14:textFill>
            <w14:solidFill>
              <w14:schemeClr w14:val="tx1"/>
            </w14:solidFill>
          </w14:textFill>
        </w:rPr>
      </w:pPr>
      <w:bookmarkStart w:id="3" w:name="_GoBack"/>
      <w:bookmarkStart w:id="0" w:name="建设工程岗位从业技能仿真大赛竞赛规程"/>
      <w:bookmarkEnd w:id="0"/>
      <w:r>
        <w:rPr>
          <w:rFonts w:hint="eastAsia" w:ascii="黑体" w:hAnsi="黑体" w:eastAsia="黑体"/>
          <w:b w:val="0"/>
          <w:color w:val="000000" w:themeColor="text1"/>
          <w:lang w:eastAsia="zh-CN"/>
          <w14:textFill>
            <w14:solidFill>
              <w14:schemeClr w14:val="tx1"/>
            </w14:solidFill>
          </w14:textFill>
        </w:rPr>
        <w:t>建设工程岗位从业技能仿真大赛竞赛规程</w:t>
      </w:r>
    </w:p>
    <w:bookmarkEnd w:id="3"/>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一、 竞赛对象</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(一)面向2019年全日制本科、高职及中职院校建筑类相关专业的在籍学生；</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(二)院校以团队为单位参加比赛，每个团队由3名参赛选手和1-3名指导教师组成，每个院系均可派1-2支队伍参加总决赛。 </w:t>
      </w:r>
    </w:p>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二、竞赛日程 </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(一)院校报名：即日起至，进入大赛官方网站</w:t>
      </w:r>
      <w:r>
        <w:rPr>
          <w:rFonts w:hint="eastAsia" w:asciiTheme="minorEastAsia" w:hAnsiTheme="minorEastAsia" w:eastAsiaTheme="minorEastAsia" w:cstheme="minorEastAsia"/>
          <w:sz w:val="30"/>
          <w:szCs w:val="30"/>
          <w:u w:val="single"/>
          <w:lang w:eastAsia="zh-CN"/>
        </w:rPr>
        <w:t>http://bisai.ccen.com.cn</w:t>
      </w:r>
      <w:r>
        <w:rPr>
          <w:rFonts w:hint="eastAsia" w:asciiTheme="minorEastAsia" w:hAnsiTheme="minorEastAsia" w:eastAsiaTheme="minorEastAsia" w:cstheme="minorEastAsia"/>
          <w:sz w:val="30"/>
          <w:szCs w:val="30"/>
          <w:lang w:eastAsia="zh-CN"/>
        </w:rPr>
        <w:t xml:space="preserve">注册网站账号并登陆后，点击在线报名，选择仿真大赛填写报名信息； </w:t>
      </w:r>
    </w:p>
    <w:p>
      <w:pPr>
        <w:widowControl/>
        <w:numPr>
          <w:ilvl w:val="0"/>
          <w:numId w:val="0"/>
        </w:numPr>
        <w:spacing w:line="360" w:lineRule="auto"/>
        <w:ind w:left="567" w:leftChars="0"/>
        <w:rPr>
          <w:rFonts w:asciiTheme="minorEastAsia" w:hAnsiTheme="minorEastAsia" w:eastAsiaTheme="minorEastAsia" w:cstheme="minorEastAsia"/>
          <w:b/>
          <w:bCs/>
          <w:color w:val="auto"/>
          <w:sz w:val="30"/>
          <w:szCs w:val="30"/>
          <w:highlight w:val="blue"/>
          <w:lang w:eastAsia="zh-CN"/>
        </w:rPr>
      </w:pPr>
      <w:r>
        <w:rPr>
          <w:rFonts w:hint="eastAsia" w:asciiTheme="minorEastAsia" w:hAnsiTheme="minorEastAsia" w:eastAsiaTheme="minorEastAsia" w:cstheme="minorEastAsia"/>
          <w:sz w:val="30"/>
          <w:szCs w:val="30"/>
          <w:lang w:eastAsia="zh-CN"/>
        </w:rPr>
        <w:t>(二)校级选拔赛：校级选拔赛拟定于9月举行，凡参加总决赛的院校均可参加校级选拔赛，选拔赛采用网络比赛模式</w:t>
      </w:r>
      <w:r>
        <w:rPr>
          <w:rFonts w:hint="eastAsia" w:asciiTheme="minorEastAsia" w:hAnsiTheme="minorEastAsia" w:eastAsiaTheme="minorEastAsia" w:cstheme="minorEastAsia"/>
          <w:sz w:val="30"/>
          <w:szCs w:val="30"/>
          <w:lang w:val="en-US" w:eastAsia="zh-CN"/>
        </w:rPr>
        <w:t>,具体见大赛官网通知。</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备注：选拔赛仅辅助参赛院校选拔参赛队员。</w:t>
      </w:r>
    </w:p>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三、竞赛内容与时间 </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(一)竞赛内容 </w:t>
      </w:r>
    </w:p>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建设工程岗位从业技能仿真模拟：根据给出的图纸、施工组织设计和项目要求进行施工全过程的仿真施工模拟和现场管理工作仿真模拟。 </w:t>
      </w:r>
    </w:p>
    <w:p>
      <w:pPr>
        <w:numPr>
          <w:ilvl w:val="0"/>
          <w:numId w:val="1"/>
        </w:numPr>
        <w:spacing w:line="360" w:lineRule="auto"/>
        <w:ind w:firstLine="147"/>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竞赛时间 </w:t>
      </w:r>
    </w:p>
    <w:p>
      <w:pPr>
        <w:numPr>
          <w:ilvl w:val="255"/>
          <w:numId w:val="0"/>
        </w:numPr>
        <w:spacing w:line="360" w:lineRule="auto"/>
        <w:ind w:left="567"/>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本赛项计划于2019年10月</w:t>
      </w:r>
      <w:r>
        <w:rPr>
          <w:rFonts w:hint="eastAsia" w:asciiTheme="minorEastAsia" w:hAnsiTheme="minorEastAsia" w:eastAsiaTheme="minorEastAsia" w:cstheme="minorEastAsia"/>
          <w:sz w:val="30"/>
          <w:szCs w:val="30"/>
          <w:lang w:val="en-US" w:eastAsia="zh-CN"/>
        </w:rPr>
        <w:t>19</w:t>
      </w:r>
      <w:r>
        <w:rPr>
          <w:rFonts w:hint="eastAsia" w:asciiTheme="minorEastAsia" w:hAnsiTheme="minorEastAsia" w:eastAsiaTheme="minorEastAsia" w:cstheme="minorEastAsia"/>
          <w:sz w:val="30"/>
          <w:szCs w:val="30"/>
          <w:lang w:eastAsia="zh-CN"/>
        </w:rPr>
        <w:t>日举行，具体安排如下：</w:t>
      </w:r>
    </w:p>
    <w:tbl>
      <w:tblPr>
        <w:tblStyle w:val="10"/>
        <w:tblW w:w="8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667"/>
        <w:gridCol w:w="1733"/>
        <w:gridCol w:w="1117"/>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20"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3667"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竞赛项目</w:t>
            </w:r>
          </w:p>
        </w:tc>
        <w:tc>
          <w:tcPr>
            <w:tcW w:w="1733"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时长（分钟）</w:t>
            </w:r>
          </w:p>
        </w:tc>
        <w:tc>
          <w:tcPr>
            <w:tcW w:w="1117"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分数</w:t>
            </w:r>
          </w:p>
          <w:p>
            <w:pPr>
              <w:jc w:val="center"/>
              <w:rPr>
                <w:rFonts w:ascii="仿宋" w:hAnsi="仿宋" w:eastAsia="仿宋" w:cs="仿宋"/>
                <w:sz w:val="24"/>
                <w:szCs w:val="24"/>
              </w:rPr>
            </w:pPr>
            <w:r>
              <w:rPr>
                <w:rFonts w:hint="eastAsia" w:ascii="仿宋" w:hAnsi="仿宋" w:eastAsia="仿宋" w:cs="仿宋"/>
                <w:sz w:val="24"/>
                <w:szCs w:val="24"/>
              </w:rPr>
              <w:t>占比</w:t>
            </w:r>
          </w:p>
        </w:tc>
        <w:tc>
          <w:tcPr>
            <w:tcW w:w="1598"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20"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3667" w:type="dxa"/>
            <w:vAlign w:val="center"/>
          </w:tcPr>
          <w:p>
            <w:pPr>
              <w:jc w:val="center"/>
              <w:rPr>
                <w:rFonts w:ascii="仿宋" w:hAnsi="仿宋" w:eastAsia="仿宋" w:cs="仿宋"/>
                <w:sz w:val="24"/>
                <w:szCs w:val="24"/>
                <w:lang w:eastAsia="zh-CN"/>
              </w:rPr>
            </w:pPr>
            <w:r>
              <w:rPr>
                <w:rFonts w:hint="eastAsia" w:ascii="仿宋" w:hAnsi="仿宋" w:eastAsia="仿宋" w:cs="仿宋"/>
                <w:sz w:val="24"/>
                <w:szCs w:val="24"/>
                <w:lang w:eastAsia="zh-CN"/>
              </w:rPr>
              <w:t>建设工程岗位从业技能仿真模拟</w:t>
            </w:r>
          </w:p>
        </w:tc>
        <w:tc>
          <w:tcPr>
            <w:tcW w:w="1733" w:type="dxa"/>
            <w:vAlign w:val="center"/>
          </w:tcPr>
          <w:p>
            <w:pPr>
              <w:jc w:val="center"/>
              <w:rPr>
                <w:rFonts w:ascii="仿宋" w:hAnsi="仿宋" w:eastAsia="仿宋" w:cs="仿宋"/>
                <w:sz w:val="24"/>
                <w:szCs w:val="24"/>
              </w:rPr>
            </w:pPr>
            <w:r>
              <w:rPr>
                <w:rFonts w:hint="eastAsia" w:ascii="仿宋" w:hAnsi="仿宋" w:eastAsia="仿宋" w:cs="仿宋"/>
                <w:sz w:val="24"/>
                <w:szCs w:val="24"/>
              </w:rPr>
              <w:t>240分钟</w:t>
            </w:r>
          </w:p>
        </w:tc>
        <w:tc>
          <w:tcPr>
            <w:tcW w:w="1117" w:type="dxa"/>
            <w:vAlign w:val="center"/>
          </w:tcPr>
          <w:p>
            <w:pPr>
              <w:jc w:val="center"/>
              <w:rPr>
                <w:rFonts w:ascii="仿宋" w:hAnsi="仿宋" w:eastAsia="仿宋" w:cs="仿宋"/>
                <w:sz w:val="24"/>
                <w:szCs w:val="24"/>
              </w:rPr>
            </w:pPr>
            <w:r>
              <w:rPr>
                <w:rFonts w:hint="eastAsia" w:ascii="仿宋" w:hAnsi="仿宋" w:eastAsia="仿宋" w:cs="仿宋"/>
                <w:sz w:val="24"/>
                <w:szCs w:val="24"/>
              </w:rPr>
              <w:t>100%</w:t>
            </w:r>
          </w:p>
        </w:tc>
        <w:tc>
          <w:tcPr>
            <w:tcW w:w="1598" w:type="dxa"/>
            <w:vAlign w:val="center"/>
          </w:tcPr>
          <w:p>
            <w:pPr>
              <w:jc w:val="center"/>
              <w:rPr>
                <w:rFonts w:ascii="仿宋" w:hAnsi="仿宋" w:eastAsia="仿宋" w:cs="仿宋"/>
                <w:sz w:val="24"/>
                <w:szCs w:val="24"/>
              </w:rPr>
            </w:pPr>
            <w:r>
              <w:rPr>
                <w:rFonts w:hint="eastAsia" w:ascii="仿宋" w:hAnsi="仿宋" w:eastAsia="仿宋" w:cs="仿宋"/>
                <w:sz w:val="24"/>
                <w:szCs w:val="24"/>
              </w:rPr>
              <w:t>8:00—12:00</w:t>
            </w:r>
          </w:p>
        </w:tc>
      </w:tr>
    </w:tbl>
    <w:p>
      <w:pPr>
        <w:spacing w:line="360" w:lineRule="auto"/>
        <w:ind w:firstLine="606" w:firstLineChars="202"/>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备注：任务执行过程中系统实时计算成绩并反馈至成绩评测系统，完成任务后，系统自动生成最终成绩结果。过程中如退出系统，可重新进入并选择之前存档，继续完成相应考核。 </w:t>
      </w:r>
    </w:p>
    <w:p>
      <w:pPr>
        <w:pStyle w:val="3"/>
        <w:numPr>
          <w:ilvl w:val="0"/>
          <w:numId w:val="2"/>
        </w:numPr>
        <w:spacing w:before="64"/>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竞赛软件及硬件</w:t>
      </w:r>
    </w:p>
    <w:p>
      <w:pPr>
        <w:rPr>
          <w:lang w:eastAsia="zh-CN"/>
        </w:rPr>
      </w:pPr>
    </w:p>
    <w:p>
      <w:pPr>
        <w:spacing w:line="360" w:lineRule="auto"/>
        <w:ind w:firstLine="420"/>
        <w:rPr>
          <w:sz w:val="30"/>
          <w:szCs w:val="30"/>
          <w:lang w:eastAsia="zh-CN"/>
        </w:rPr>
      </w:pPr>
      <w:r>
        <w:rPr>
          <w:rFonts w:hint="eastAsia"/>
          <w:sz w:val="30"/>
          <w:szCs w:val="30"/>
          <w:lang w:eastAsia="zh-CN"/>
        </w:rPr>
        <w:t>(一) 竞赛软件</w:t>
      </w:r>
    </w:p>
    <w:tbl>
      <w:tblPr>
        <w:tblStyle w:val="10"/>
        <w:tblW w:w="8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3633"/>
        <w:gridCol w:w="365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3633"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比赛科目</w:t>
            </w:r>
          </w:p>
        </w:tc>
        <w:tc>
          <w:tcPr>
            <w:tcW w:w="3650"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软件名称</w:t>
            </w:r>
          </w:p>
        </w:tc>
        <w:tc>
          <w:tcPr>
            <w:tcW w:w="789" w:type="dxa"/>
            <w:shd w:val="clear" w:color="auto" w:fill="C3BD96" w:themeFill="background2" w:themeFillShade="BF"/>
            <w:vAlign w:val="center"/>
          </w:tcPr>
          <w:p>
            <w:pPr>
              <w:jc w:val="center"/>
              <w:rPr>
                <w:rFonts w:ascii="仿宋" w:hAnsi="仿宋" w:eastAsia="仿宋" w:cs="仿宋"/>
                <w:sz w:val="24"/>
                <w:szCs w:val="24"/>
              </w:rPr>
            </w:pPr>
            <w:r>
              <w:rPr>
                <w:rFonts w:hint="eastAsia" w:ascii="仿宋" w:hAnsi="仿宋" w:eastAsia="仿宋" w:cs="仿宋"/>
                <w:sz w:val="24"/>
                <w:szCs w:val="24"/>
              </w:rPr>
              <w:t>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577"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3633" w:type="dxa"/>
            <w:vAlign w:val="center"/>
          </w:tcPr>
          <w:p>
            <w:pPr>
              <w:jc w:val="center"/>
              <w:rPr>
                <w:rFonts w:ascii="仿宋" w:hAnsi="仿宋" w:eastAsia="仿宋" w:cs="仿宋"/>
                <w:sz w:val="24"/>
                <w:szCs w:val="24"/>
                <w:lang w:eastAsia="zh-CN"/>
              </w:rPr>
            </w:pPr>
            <w:r>
              <w:rPr>
                <w:rFonts w:hint="eastAsia" w:ascii="仿宋" w:hAnsi="仿宋" w:eastAsia="仿宋" w:cs="仿宋"/>
                <w:sz w:val="24"/>
                <w:szCs w:val="24"/>
                <w:lang w:eastAsia="zh-CN"/>
              </w:rPr>
              <w:t>建设工程岗位从业技能仿真模拟</w:t>
            </w:r>
          </w:p>
        </w:tc>
        <w:tc>
          <w:tcPr>
            <w:tcW w:w="3650" w:type="dxa"/>
            <w:vAlign w:val="center"/>
          </w:tcPr>
          <w:p>
            <w:pPr>
              <w:jc w:val="center"/>
              <w:rPr>
                <w:rFonts w:ascii="仿宋" w:hAnsi="仿宋" w:eastAsia="仿宋" w:cs="仿宋"/>
                <w:sz w:val="24"/>
                <w:szCs w:val="24"/>
                <w:lang w:eastAsia="zh-CN"/>
              </w:rPr>
            </w:pPr>
            <w:r>
              <w:rPr>
                <w:rFonts w:hint="eastAsia" w:ascii="仿宋" w:hAnsi="仿宋" w:eastAsia="仿宋" w:cs="仿宋"/>
                <w:sz w:val="24"/>
                <w:szCs w:val="24"/>
                <w:lang w:eastAsia="zh-CN"/>
              </w:rPr>
              <w:t>建筑工程岗位综合仿真演练系统</w:t>
            </w:r>
          </w:p>
        </w:tc>
        <w:tc>
          <w:tcPr>
            <w:tcW w:w="789" w:type="dxa"/>
            <w:vAlign w:val="center"/>
          </w:tcPr>
          <w:p>
            <w:pPr>
              <w:jc w:val="center"/>
              <w:rPr>
                <w:rFonts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9" w:type="dxa"/>
            <w:gridSpan w:val="4"/>
            <w:vAlign w:val="center"/>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 xml:space="preserve">软件使用说明： </w:t>
            </w:r>
          </w:p>
          <w:p>
            <w:pPr>
              <w:spacing w:line="360" w:lineRule="auto"/>
              <w:ind w:firstLine="420"/>
              <w:rPr>
                <w:rFonts w:ascii="仿宋" w:hAnsi="仿宋" w:eastAsia="仿宋" w:cs="仿宋"/>
                <w:sz w:val="24"/>
                <w:szCs w:val="24"/>
                <w:lang w:eastAsia="zh-CN"/>
              </w:rPr>
            </w:pPr>
            <w:r>
              <w:rPr>
                <w:rFonts w:hint="eastAsia" w:ascii="仿宋" w:hAnsi="仿宋" w:eastAsia="仿宋" w:cs="仿宋"/>
                <w:sz w:val="24"/>
                <w:szCs w:val="24"/>
                <w:lang w:eastAsia="zh-CN"/>
              </w:rPr>
              <w:t xml:space="preserve">1)软件运行前需要安装深思数盾加密锁驱动程序 25226 及以上版本，并进行加密锁登录确认； </w:t>
            </w:r>
          </w:p>
          <w:p>
            <w:pPr>
              <w:spacing w:line="360" w:lineRule="auto"/>
              <w:ind w:firstLine="420"/>
              <w:rPr>
                <w:rFonts w:ascii="仿宋" w:hAnsi="仿宋" w:eastAsia="仿宋" w:cs="仿宋"/>
                <w:sz w:val="24"/>
                <w:szCs w:val="24"/>
                <w:lang w:eastAsia="zh-CN"/>
              </w:rPr>
            </w:pPr>
            <w:r>
              <w:rPr>
                <w:rFonts w:hint="eastAsia" w:ascii="仿宋" w:hAnsi="仿宋" w:eastAsia="仿宋" w:cs="仿宋"/>
                <w:sz w:val="24"/>
                <w:szCs w:val="24"/>
                <w:lang w:eastAsia="zh-CN"/>
              </w:rPr>
              <w:t xml:space="preserve">2)软件分为线上预演赛版本和决赛版本，预演赛版本用于备赛练习，可在大赛官网下载； </w:t>
            </w:r>
          </w:p>
          <w:p>
            <w:pPr>
              <w:spacing w:line="360" w:lineRule="auto"/>
              <w:ind w:firstLine="420"/>
              <w:rPr>
                <w:rFonts w:ascii="仿宋" w:hAnsi="仿宋" w:eastAsia="仿宋" w:cs="仿宋"/>
                <w:sz w:val="24"/>
                <w:szCs w:val="24"/>
                <w:lang w:eastAsia="zh-CN"/>
              </w:rPr>
            </w:pPr>
            <w:r>
              <w:rPr>
                <w:rFonts w:hint="eastAsia" w:ascii="仿宋" w:hAnsi="仿宋" w:eastAsia="仿宋" w:cs="仿宋"/>
                <w:sz w:val="24"/>
                <w:szCs w:val="24"/>
                <w:lang w:eastAsia="zh-CN"/>
              </w:rPr>
              <w:t>3)决赛版软件由组委会在赛前1周在大赛网站发布，请考生及时关注官网通知。</w:t>
            </w:r>
          </w:p>
        </w:tc>
      </w:tr>
    </w:tbl>
    <w:p>
      <w:pPr>
        <w:spacing w:line="360" w:lineRule="auto"/>
        <w:ind w:firstLine="420"/>
        <w:rPr>
          <w:sz w:val="30"/>
          <w:szCs w:val="30"/>
          <w:lang w:eastAsia="zh-CN"/>
        </w:rPr>
      </w:pPr>
      <w:r>
        <w:rPr>
          <w:rFonts w:hint="eastAsia"/>
          <w:sz w:val="30"/>
          <w:szCs w:val="30"/>
          <w:lang w:eastAsia="zh-CN"/>
        </w:rPr>
        <w:t xml:space="preserve">(二)竞赛硬件 </w:t>
      </w:r>
    </w:p>
    <w:p>
      <w:pPr>
        <w:spacing w:line="360" w:lineRule="auto"/>
        <w:ind w:firstLine="420"/>
        <w:rPr>
          <w:sz w:val="30"/>
          <w:szCs w:val="30"/>
          <w:lang w:eastAsia="zh-CN"/>
        </w:rPr>
      </w:pPr>
      <w:r>
        <w:rPr>
          <w:rFonts w:hint="eastAsia"/>
          <w:sz w:val="30"/>
          <w:szCs w:val="30"/>
          <w:lang w:eastAsia="zh-CN"/>
        </w:rPr>
        <w:t>1.竞赛电脑 ；</w:t>
      </w:r>
    </w:p>
    <w:p>
      <w:pPr>
        <w:spacing w:line="360" w:lineRule="auto"/>
        <w:ind w:firstLine="420"/>
        <w:rPr>
          <w:sz w:val="30"/>
          <w:szCs w:val="30"/>
          <w:lang w:eastAsia="zh-CN"/>
        </w:rPr>
      </w:pPr>
      <w:r>
        <w:rPr>
          <w:rFonts w:hint="eastAsia"/>
          <w:sz w:val="30"/>
          <w:szCs w:val="30"/>
          <w:lang w:eastAsia="zh-CN"/>
        </w:rPr>
        <w:t>决赛期</w:t>
      </w:r>
      <w:r>
        <w:rPr>
          <w:rFonts w:hint="eastAsia" w:asciiTheme="minorEastAsia" w:hAnsiTheme="minorEastAsia" w:eastAsiaTheme="minorEastAsia" w:cstheme="minorEastAsia"/>
          <w:sz w:val="30"/>
          <w:szCs w:val="30"/>
          <w:lang w:eastAsia="zh-CN"/>
        </w:rPr>
        <w:t>间参赛团队需自带竞赛电脑每个团队需要准备2台电脑，练习期间电脑推荐配置：每台电脑配置不低于 4G 内存，2G 以上独显（为保证系统运行流程建议选择高配独显</w:t>
      </w:r>
      <w:r>
        <w:rPr>
          <w:rFonts w:hint="eastAsia"/>
          <w:sz w:val="30"/>
          <w:szCs w:val="30"/>
          <w:lang w:eastAsia="zh-CN"/>
        </w:rPr>
        <w:t xml:space="preserve">），支持无线网络和 USB 接口，Windows7 操作系统，i5 处理器及以上，IE8 及以上浏览器，屏幕的分辨率最好为 16:9。 </w:t>
      </w:r>
    </w:p>
    <w:p>
      <w:pPr>
        <w:spacing w:line="360" w:lineRule="auto"/>
        <w:ind w:firstLine="420"/>
        <w:rPr>
          <w:sz w:val="30"/>
          <w:szCs w:val="30"/>
          <w:lang w:eastAsia="zh-CN"/>
        </w:rPr>
      </w:pPr>
      <w:r>
        <w:rPr>
          <w:rFonts w:hint="eastAsia"/>
          <w:sz w:val="30"/>
          <w:szCs w:val="30"/>
          <w:lang w:eastAsia="zh-CN"/>
        </w:rPr>
        <w:t xml:space="preserve">2.加密锁 </w:t>
      </w:r>
    </w:p>
    <w:p>
      <w:pPr>
        <w:spacing w:line="360" w:lineRule="auto"/>
        <w:ind w:firstLine="420"/>
        <w:rPr>
          <w:sz w:val="30"/>
          <w:szCs w:val="30"/>
          <w:lang w:eastAsia="zh-CN"/>
        </w:rPr>
      </w:pPr>
      <w:r>
        <w:rPr>
          <w:rFonts w:hint="eastAsia"/>
          <w:sz w:val="30"/>
          <w:szCs w:val="30"/>
          <w:lang w:eastAsia="zh-CN"/>
        </w:rPr>
        <w:t xml:space="preserve">备赛加密锁由睿格致公司免费提供，参赛院校在报名缴费后，由广联达公司网络分配各院校网络加密锁，网络加密锁将在决赛后自动失效。 </w:t>
      </w:r>
    </w:p>
    <w:p>
      <w:pPr>
        <w:spacing w:line="360" w:lineRule="auto"/>
        <w:ind w:firstLine="420"/>
        <w:rPr>
          <w:sz w:val="30"/>
          <w:szCs w:val="30"/>
          <w:lang w:eastAsia="zh-CN"/>
        </w:rPr>
      </w:pPr>
      <w:r>
        <w:rPr>
          <w:rFonts w:hint="eastAsia"/>
          <w:sz w:val="30"/>
          <w:szCs w:val="30"/>
          <w:lang w:eastAsia="zh-CN"/>
        </w:rPr>
        <w:t xml:space="preserve">3.其它 </w:t>
      </w:r>
    </w:p>
    <w:p>
      <w:pPr>
        <w:spacing w:line="360" w:lineRule="auto"/>
        <w:ind w:firstLine="420"/>
        <w:rPr>
          <w:sz w:val="30"/>
          <w:szCs w:val="30"/>
          <w:lang w:eastAsia="zh-CN"/>
        </w:rPr>
      </w:pPr>
      <w:r>
        <w:rPr>
          <w:rFonts w:hint="eastAsia"/>
          <w:sz w:val="30"/>
          <w:szCs w:val="30"/>
          <w:lang w:eastAsia="zh-CN"/>
        </w:rPr>
        <w:t xml:space="preserve">参赛选手随身携带身份证、学生证，黑色签字笔和计算器等考试用具。 </w:t>
      </w:r>
    </w:p>
    <w:p>
      <w:pPr>
        <w:spacing w:line="360" w:lineRule="auto"/>
        <w:ind w:firstLine="420"/>
        <w:rPr>
          <w:sz w:val="30"/>
          <w:szCs w:val="30"/>
          <w:lang w:eastAsia="zh-CN"/>
        </w:rPr>
      </w:pPr>
      <w:r>
        <w:rPr>
          <w:rFonts w:hint="eastAsia"/>
          <w:sz w:val="30"/>
          <w:szCs w:val="30"/>
          <w:lang w:eastAsia="zh-CN"/>
        </w:rPr>
        <w:t xml:space="preserve">备注：上述设备须由参赛选手在赛前自行准备及调试。 </w:t>
      </w:r>
    </w:p>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五、 竞赛评分</w:t>
      </w:r>
    </w:p>
    <w:p>
      <w:pPr>
        <w:spacing w:line="360" w:lineRule="auto"/>
        <w:ind w:firstLine="420"/>
        <w:rPr>
          <w:sz w:val="30"/>
          <w:szCs w:val="30"/>
          <w:lang w:eastAsia="zh-CN"/>
        </w:rPr>
      </w:pPr>
      <w:bookmarkStart w:id="1" w:name="六、竞赛奖项_"/>
      <w:bookmarkEnd w:id="1"/>
      <w:r>
        <w:rPr>
          <w:rFonts w:hint="eastAsia"/>
          <w:sz w:val="30"/>
          <w:szCs w:val="30"/>
          <w:lang w:eastAsia="zh-CN"/>
        </w:rPr>
        <w:t xml:space="preserve">(一)评分方式 </w:t>
      </w:r>
    </w:p>
    <w:p>
      <w:pPr>
        <w:spacing w:line="360" w:lineRule="auto"/>
        <w:ind w:firstLine="420"/>
        <w:rPr>
          <w:sz w:val="30"/>
          <w:szCs w:val="30"/>
          <w:lang w:eastAsia="zh-CN"/>
        </w:rPr>
      </w:pPr>
      <w:r>
        <w:rPr>
          <w:rFonts w:hint="eastAsia"/>
          <w:sz w:val="30"/>
          <w:szCs w:val="30"/>
          <w:lang w:eastAsia="zh-CN"/>
        </w:rPr>
        <w:t xml:space="preserve">评分过程在大赛专家组的监督下执行，比赛评分均通过岗位管理后台评测系统自动完成，科目评分软件如下： </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260"/>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88"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序号</w:t>
            </w:r>
          </w:p>
        </w:tc>
        <w:tc>
          <w:tcPr>
            <w:tcW w:w="3260"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科目</w:t>
            </w:r>
          </w:p>
        </w:tc>
        <w:tc>
          <w:tcPr>
            <w:tcW w:w="4048"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评分软件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88" w:type="dxa"/>
          </w:tcPr>
          <w:p>
            <w:pPr>
              <w:spacing w:line="360" w:lineRule="auto"/>
              <w:ind w:firstLine="420"/>
              <w:rPr>
                <w:rFonts w:ascii="仿宋" w:hAnsi="仿宋" w:eastAsia="仿宋" w:cs="仿宋"/>
                <w:sz w:val="24"/>
                <w:szCs w:val="24"/>
                <w:lang w:eastAsia="zh-CN"/>
              </w:rPr>
            </w:pPr>
          </w:p>
          <w:p>
            <w:pPr>
              <w:spacing w:line="360" w:lineRule="auto"/>
              <w:ind w:firstLine="420"/>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3260"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建设工程岗位从业技能仿真模拟</w:t>
            </w:r>
          </w:p>
        </w:tc>
        <w:tc>
          <w:tcPr>
            <w:tcW w:w="4048"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建筑工程岗位综合仿真演练成绩评测系统</w:t>
            </w:r>
          </w:p>
        </w:tc>
      </w:tr>
    </w:tbl>
    <w:p>
      <w:pPr>
        <w:spacing w:line="360" w:lineRule="auto"/>
        <w:ind w:firstLine="420"/>
        <w:rPr>
          <w:sz w:val="30"/>
          <w:szCs w:val="30"/>
          <w:lang w:eastAsia="zh-CN"/>
        </w:rPr>
      </w:pPr>
      <w:r>
        <w:rPr>
          <w:rFonts w:hint="eastAsia"/>
          <w:sz w:val="30"/>
          <w:szCs w:val="30"/>
          <w:lang w:eastAsia="zh-CN"/>
        </w:rPr>
        <w:t xml:space="preserve">(二)评分规则 </w:t>
      </w:r>
    </w:p>
    <w:p>
      <w:pPr>
        <w:spacing w:line="360" w:lineRule="auto"/>
        <w:ind w:firstLine="420"/>
        <w:rPr>
          <w:sz w:val="30"/>
          <w:szCs w:val="30"/>
          <w:lang w:eastAsia="zh-CN"/>
        </w:rPr>
      </w:pPr>
      <w:r>
        <w:rPr>
          <w:rFonts w:hint="eastAsia"/>
          <w:sz w:val="30"/>
          <w:szCs w:val="30"/>
          <w:lang w:eastAsia="zh-CN"/>
        </w:rPr>
        <w:t xml:space="preserve">评分按照专业知识、施工进度、成本控制和质量标准四个维度进行综合评定，各维度分数占比如下： </w:t>
      </w:r>
    </w:p>
    <w:tbl>
      <w:tblPr>
        <w:tblStyle w:val="10"/>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685"/>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88"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序号</w:t>
            </w:r>
          </w:p>
        </w:tc>
        <w:tc>
          <w:tcPr>
            <w:tcW w:w="3685"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内容</w:t>
            </w:r>
          </w:p>
        </w:tc>
        <w:tc>
          <w:tcPr>
            <w:tcW w:w="3632" w:type="dxa"/>
            <w:shd w:val="clear" w:color="auto" w:fill="C3BD96" w:themeFill="background2" w:themeFillShade="BF"/>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1</w:t>
            </w:r>
          </w:p>
        </w:tc>
        <w:tc>
          <w:tcPr>
            <w:tcW w:w="3685"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专业知识得分</w:t>
            </w:r>
          </w:p>
        </w:tc>
        <w:tc>
          <w:tcPr>
            <w:tcW w:w="3632"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88" w:type="dxa"/>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2</w:t>
            </w:r>
          </w:p>
        </w:tc>
        <w:tc>
          <w:tcPr>
            <w:tcW w:w="3685"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质量得分</w:t>
            </w:r>
          </w:p>
        </w:tc>
        <w:tc>
          <w:tcPr>
            <w:tcW w:w="3632"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3</w:t>
            </w:r>
          </w:p>
        </w:tc>
        <w:tc>
          <w:tcPr>
            <w:tcW w:w="3685"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进度得分</w:t>
            </w:r>
          </w:p>
        </w:tc>
        <w:tc>
          <w:tcPr>
            <w:tcW w:w="3632"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4</w:t>
            </w:r>
          </w:p>
        </w:tc>
        <w:tc>
          <w:tcPr>
            <w:tcW w:w="3685"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成本得分</w:t>
            </w:r>
          </w:p>
        </w:tc>
        <w:tc>
          <w:tcPr>
            <w:tcW w:w="3632"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gridSpan w:val="2"/>
          </w:tcPr>
          <w:p>
            <w:pPr>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合计</w:t>
            </w:r>
          </w:p>
        </w:tc>
        <w:tc>
          <w:tcPr>
            <w:tcW w:w="3632" w:type="dxa"/>
          </w:tcPr>
          <w:p>
            <w:pPr>
              <w:spacing w:line="360" w:lineRule="auto"/>
              <w:rPr>
                <w:rFonts w:ascii="仿宋" w:hAnsi="仿宋" w:eastAsia="仿宋" w:cs="仿宋"/>
                <w:sz w:val="24"/>
                <w:szCs w:val="24"/>
                <w:lang w:eastAsia="zh-CN"/>
              </w:rPr>
            </w:pPr>
            <w:r>
              <w:rPr>
                <w:rFonts w:hint="eastAsia" w:ascii="仿宋" w:hAnsi="仿宋" w:eastAsia="仿宋" w:cs="仿宋"/>
                <w:sz w:val="24"/>
                <w:szCs w:val="24"/>
                <w:lang w:eastAsia="zh-CN"/>
              </w:rPr>
              <w:t>100%</w:t>
            </w:r>
          </w:p>
        </w:tc>
      </w:tr>
    </w:tbl>
    <w:p>
      <w:pPr>
        <w:spacing w:line="360" w:lineRule="auto"/>
        <w:ind w:firstLine="420"/>
        <w:rPr>
          <w:sz w:val="30"/>
          <w:szCs w:val="30"/>
          <w:lang w:eastAsia="zh-CN"/>
        </w:rPr>
      </w:pPr>
      <w:r>
        <w:rPr>
          <w:rFonts w:hint="eastAsia"/>
          <w:sz w:val="30"/>
          <w:szCs w:val="30"/>
          <w:lang w:eastAsia="zh-CN"/>
        </w:rPr>
        <w:t xml:space="preserve">1)专业知识:根据建筑施工企业关键技术岗位八大员在项目施工过程中的须掌握的专业技能对学生进行考核，主要包括基础、柱、墙、梁、板的施工技术、图纸识读、构造认知、工程派工、工程监理相关知识、建筑工程安全、工程测量、工程计量等相关课程的专业知识。以多种形式进行任务考核，根据正确率累计汇总最终得分。 </w:t>
      </w:r>
    </w:p>
    <w:p>
      <w:pPr>
        <w:spacing w:line="360" w:lineRule="auto"/>
        <w:ind w:firstLine="420"/>
        <w:rPr>
          <w:sz w:val="30"/>
          <w:szCs w:val="30"/>
          <w:lang w:eastAsia="zh-CN"/>
        </w:rPr>
      </w:pPr>
      <w:r>
        <w:rPr>
          <w:rFonts w:hint="eastAsia"/>
          <w:sz w:val="30"/>
          <w:szCs w:val="30"/>
          <w:lang w:eastAsia="zh-CN"/>
        </w:rPr>
        <w:t>2)施工进度:根据施工组织设计和合同工期要求以合理的进度完成全部施工流程。</w:t>
      </w:r>
    </w:p>
    <w:p>
      <w:pPr>
        <w:spacing w:line="360" w:lineRule="auto"/>
        <w:ind w:firstLine="420"/>
        <w:rPr>
          <w:sz w:val="30"/>
          <w:szCs w:val="30"/>
          <w:lang w:eastAsia="zh-CN"/>
        </w:rPr>
      </w:pPr>
      <w:r>
        <w:rPr>
          <w:rFonts w:hint="eastAsia"/>
          <w:sz w:val="30"/>
          <w:szCs w:val="30"/>
          <w:lang w:eastAsia="zh-CN"/>
        </w:rPr>
        <w:t xml:space="preserve">3)成本控制：根据施工组织设计和项目要求以满足施工成本的要求。 </w:t>
      </w:r>
    </w:p>
    <w:p>
      <w:pPr>
        <w:spacing w:line="360" w:lineRule="auto"/>
        <w:ind w:firstLine="420"/>
        <w:rPr>
          <w:sz w:val="30"/>
          <w:szCs w:val="30"/>
          <w:lang w:eastAsia="zh-CN"/>
        </w:rPr>
      </w:pPr>
      <w:r>
        <w:rPr>
          <w:rFonts w:hint="eastAsia"/>
          <w:sz w:val="30"/>
          <w:szCs w:val="30"/>
          <w:lang w:eastAsia="zh-CN"/>
        </w:rPr>
        <w:t>4)质量标准:按照施工过程中的相关质量检验标准和项目质量要求确保工程施工质量满足规范要求。</w:t>
      </w:r>
    </w:p>
    <w:p>
      <w:pPr>
        <w:spacing w:line="360" w:lineRule="auto"/>
        <w:ind w:firstLine="420"/>
        <w:rPr>
          <w:sz w:val="30"/>
          <w:szCs w:val="30"/>
          <w:lang w:eastAsia="zh-CN"/>
        </w:rPr>
      </w:pPr>
      <w:r>
        <w:rPr>
          <w:rFonts w:hint="eastAsia"/>
          <w:sz w:val="30"/>
          <w:szCs w:val="30"/>
          <w:lang w:eastAsia="zh-CN"/>
        </w:rPr>
        <w:t xml:space="preserve">备注：详细评分规则《建筑工程岗位从业技能评分规则解读》由大赛组委会于7月上传至大赛官网。 </w:t>
      </w:r>
    </w:p>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六、竞赛奖项</w:t>
      </w:r>
    </w:p>
    <w:p>
      <w:pPr>
        <w:spacing w:line="360" w:lineRule="auto"/>
        <w:ind w:firstLine="420"/>
        <w:rPr>
          <w:sz w:val="30"/>
          <w:szCs w:val="30"/>
          <w:lang w:eastAsia="zh-CN"/>
        </w:rPr>
      </w:pPr>
      <w:r>
        <w:rPr>
          <w:rFonts w:hint="eastAsia"/>
          <w:sz w:val="30"/>
          <w:szCs w:val="30"/>
          <w:lang w:eastAsia="zh-CN"/>
        </w:rPr>
        <w:t xml:space="preserve">(一)学生奖 </w:t>
      </w:r>
    </w:p>
    <w:p>
      <w:pPr>
        <w:spacing w:line="360" w:lineRule="auto"/>
        <w:ind w:firstLine="420"/>
        <w:rPr>
          <w:sz w:val="30"/>
          <w:szCs w:val="30"/>
          <w:lang w:eastAsia="zh-CN"/>
        </w:rPr>
      </w:pPr>
      <w:r>
        <w:rPr>
          <w:rFonts w:hint="eastAsia"/>
          <w:sz w:val="30"/>
          <w:szCs w:val="30"/>
          <w:lang w:eastAsia="zh-CN"/>
        </w:rPr>
        <w:t>1、优秀岗位奖：竞赛设优秀</w:t>
      </w:r>
      <w:r>
        <w:rPr>
          <w:sz w:val="30"/>
          <w:szCs w:val="30"/>
          <w:lang w:eastAsia="zh-CN"/>
        </w:rPr>
        <w:t>施工员、</w:t>
      </w:r>
      <w:r>
        <w:rPr>
          <w:rFonts w:hint="eastAsia"/>
          <w:sz w:val="30"/>
          <w:szCs w:val="30"/>
          <w:lang w:eastAsia="zh-CN"/>
        </w:rPr>
        <w:t>优秀</w:t>
      </w:r>
      <w:r>
        <w:rPr>
          <w:sz w:val="30"/>
          <w:szCs w:val="30"/>
          <w:lang w:eastAsia="zh-CN"/>
        </w:rPr>
        <w:t>预算员、</w:t>
      </w:r>
      <w:r>
        <w:rPr>
          <w:rFonts w:hint="eastAsia"/>
          <w:sz w:val="30"/>
          <w:szCs w:val="30"/>
          <w:lang w:eastAsia="zh-CN"/>
        </w:rPr>
        <w:t>优秀材料试验员、优秀</w:t>
      </w:r>
      <w:r>
        <w:rPr>
          <w:sz w:val="30"/>
          <w:szCs w:val="30"/>
          <w:lang w:eastAsia="zh-CN"/>
        </w:rPr>
        <w:t>测量员</w:t>
      </w:r>
      <w:r>
        <w:rPr>
          <w:rFonts w:hint="eastAsia"/>
          <w:sz w:val="30"/>
          <w:szCs w:val="30"/>
          <w:lang w:eastAsia="zh-CN"/>
        </w:rPr>
        <w:t>和优秀质量安全员五个优秀</w:t>
      </w:r>
      <w:r>
        <w:rPr>
          <w:sz w:val="30"/>
          <w:szCs w:val="30"/>
          <w:lang w:eastAsia="zh-CN"/>
        </w:rPr>
        <w:t>岗位</w:t>
      </w:r>
      <w:r>
        <w:rPr>
          <w:rFonts w:hint="eastAsia"/>
          <w:sz w:val="30"/>
          <w:szCs w:val="30"/>
          <w:lang w:eastAsia="zh-CN"/>
        </w:rPr>
        <w:t>奖。优秀</w:t>
      </w:r>
      <w:r>
        <w:rPr>
          <w:sz w:val="30"/>
          <w:szCs w:val="30"/>
          <w:lang w:eastAsia="zh-CN"/>
        </w:rPr>
        <w:t>岗位奖为个人奖</w:t>
      </w:r>
      <w:r>
        <w:rPr>
          <w:rFonts w:hint="eastAsia"/>
          <w:sz w:val="30"/>
          <w:szCs w:val="30"/>
          <w:lang w:eastAsia="zh-CN"/>
        </w:rPr>
        <w:t>。</w:t>
      </w:r>
      <w:r>
        <w:rPr>
          <w:sz w:val="30"/>
          <w:szCs w:val="30"/>
          <w:lang w:eastAsia="zh-CN"/>
        </w:rPr>
        <w:t>按照每个岗位</w:t>
      </w:r>
      <w:r>
        <w:rPr>
          <w:rFonts w:hint="eastAsia"/>
          <w:sz w:val="30"/>
          <w:szCs w:val="30"/>
          <w:lang w:eastAsia="zh-CN"/>
        </w:rPr>
        <w:t>对应</w:t>
      </w:r>
      <w:r>
        <w:rPr>
          <w:sz w:val="30"/>
          <w:szCs w:val="30"/>
          <w:lang w:eastAsia="zh-CN"/>
        </w:rPr>
        <w:t>的考试分数取前10%</w:t>
      </w:r>
      <w:r>
        <w:rPr>
          <w:rFonts w:hint="eastAsia"/>
          <w:sz w:val="30"/>
          <w:szCs w:val="30"/>
          <w:lang w:eastAsia="zh-CN"/>
        </w:rPr>
        <w:t>（小数点后四舍五入），获奖选手由大赛组委会颁发获专项奖证书。</w:t>
      </w:r>
    </w:p>
    <w:p>
      <w:pPr>
        <w:spacing w:line="360" w:lineRule="auto"/>
        <w:ind w:firstLine="420"/>
        <w:rPr>
          <w:sz w:val="30"/>
          <w:szCs w:val="30"/>
          <w:lang w:eastAsia="zh-CN"/>
        </w:rPr>
      </w:pPr>
      <w:r>
        <w:rPr>
          <w:rFonts w:hint="eastAsia"/>
          <w:sz w:val="30"/>
          <w:szCs w:val="30"/>
          <w:lang w:eastAsia="zh-CN"/>
        </w:rPr>
        <w:t xml:space="preserve">2、金牌项目部奖：竞赛设金牌项目一、二、三等奖，金牌项目部奖为团队奖，以实际参赛队伍总数为基数，一、二、三等奖获奖比例分别为 10%、20%、30%（小数点后四舍五入），获奖团队由大赛组委会颁发获奖证书。 </w:t>
      </w:r>
    </w:p>
    <w:p>
      <w:pPr>
        <w:spacing w:line="360" w:lineRule="auto"/>
        <w:ind w:firstLine="420"/>
        <w:rPr>
          <w:sz w:val="30"/>
          <w:szCs w:val="30"/>
          <w:lang w:eastAsia="zh-CN"/>
        </w:rPr>
      </w:pPr>
      <w:r>
        <w:rPr>
          <w:rFonts w:hint="eastAsia"/>
          <w:sz w:val="30"/>
          <w:szCs w:val="30"/>
          <w:lang w:eastAsia="zh-CN"/>
        </w:rPr>
        <w:t xml:space="preserve">(二)老师奖 </w:t>
      </w:r>
    </w:p>
    <w:p>
      <w:pPr>
        <w:spacing w:line="360" w:lineRule="auto"/>
        <w:ind w:firstLine="420"/>
        <w:rPr>
          <w:sz w:val="30"/>
          <w:szCs w:val="30"/>
          <w:lang w:eastAsia="zh-CN"/>
        </w:rPr>
      </w:pPr>
      <w:r>
        <w:rPr>
          <w:rFonts w:hint="eastAsia"/>
          <w:sz w:val="30"/>
          <w:szCs w:val="30"/>
          <w:lang w:eastAsia="zh-CN"/>
        </w:rPr>
        <w:t>获奖团队的指导教师将获得由大赛组委会颁发的优秀指导教师奖。</w:t>
      </w:r>
    </w:p>
    <w:p>
      <w:pPr>
        <w:spacing w:line="360" w:lineRule="auto"/>
        <w:ind w:firstLine="420"/>
        <w:rPr>
          <w:sz w:val="30"/>
          <w:szCs w:val="30"/>
          <w:lang w:eastAsia="zh-CN"/>
        </w:rPr>
      </w:pPr>
      <w:r>
        <w:rPr>
          <w:rFonts w:hint="eastAsia"/>
          <w:sz w:val="30"/>
          <w:szCs w:val="30"/>
          <w:lang w:eastAsia="zh-CN"/>
        </w:rPr>
        <w:t>具体奖项见下表：</w:t>
      </w:r>
    </w:p>
    <w:tbl>
      <w:tblPr>
        <w:tblStyle w:val="9"/>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900"/>
        <w:gridCol w:w="1233"/>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55" w:type="dxa"/>
            <w:shd w:val="clear" w:color="auto" w:fill="C3BD96" w:themeFill="background2" w:themeFillShade="BF"/>
            <w:vAlign w:val="center"/>
          </w:tcPr>
          <w:p>
            <w:pPr>
              <w:widowControl/>
              <w:spacing w:line="380" w:lineRule="exact"/>
              <w:jc w:val="center"/>
              <w:rPr>
                <w:rFonts w:ascii="仿宋" w:hAnsi="仿宋" w:eastAsia="仿宋"/>
                <w:b/>
                <w:sz w:val="24"/>
              </w:rPr>
            </w:pPr>
            <w:r>
              <w:rPr>
                <w:rFonts w:hint="eastAsia" w:ascii="仿宋" w:hAnsi="仿宋" w:eastAsia="仿宋"/>
                <w:b/>
                <w:sz w:val="24"/>
              </w:rPr>
              <w:t>奖项</w:t>
            </w:r>
          </w:p>
        </w:tc>
        <w:tc>
          <w:tcPr>
            <w:tcW w:w="1900" w:type="dxa"/>
            <w:shd w:val="clear" w:color="auto" w:fill="C3BD96" w:themeFill="background2" w:themeFillShade="BF"/>
            <w:vAlign w:val="center"/>
          </w:tcPr>
          <w:p>
            <w:pPr>
              <w:widowControl/>
              <w:spacing w:line="380" w:lineRule="exact"/>
              <w:ind w:firstLine="241" w:firstLineChars="100"/>
              <w:jc w:val="both"/>
              <w:rPr>
                <w:rFonts w:ascii="仿宋" w:hAnsi="仿宋" w:eastAsia="仿宋"/>
                <w:b/>
                <w:sz w:val="24"/>
              </w:rPr>
            </w:pPr>
            <w:r>
              <w:rPr>
                <w:rFonts w:hint="eastAsia" w:ascii="仿宋" w:hAnsi="仿宋" w:eastAsia="仿宋"/>
                <w:b/>
                <w:sz w:val="24"/>
              </w:rPr>
              <w:t>奖项设置</w:t>
            </w:r>
          </w:p>
        </w:tc>
        <w:tc>
          <w:tcPr>
            <w:tcW w:w="1233" w:type="dxa"/>
            <w:shd w:val="clear" w:color="auto" w:fill="C3BD96" w:themeFill="background2" w:themeFillShade="BF"/>
            <w:vAlign w:val="center"/>
          </w:tcPr>
          <w:p>
            <w:pPr>
              <w:widowControl/>
              <w:spacing w:line="380" w:lineRule="exact"/>
              <w:jc w:val="center"/>
              <w:rPr>
                <w:rFonts w:ascii="仿宋" w:hAnsi="仿宋" w:eastAsia="仿宋"/>
                <w:b/>
                <w:sz w:val="24"/>
              </w:rPr>
            </w:pPr>
            <w:r>
              <w:rPr>
                <w:rFonts w:hint="eastAsia" w:ascii="仿宋" w:hAnsi="仿宋" w:eastAsia="仿宋"/>
                <w:b/>
                <w:sz w:val="24"/>
              </w:rPr>
              <w:t>获奖比例</w:t>
            </w:r>
          </w:p>
        </w:tc>
        <w:tc>
          <w:tcPr>
            <w:tcW w:w="4717" w:type="dxa"/>
            <w:shd w:val="clear" w:color="auto" w:fill="C3BD96" w:themeFill="background2" w:themeFillShade="BF"/>
            <w:vAlign w:val="center"/>
          </w:tcPr>
          <w:p>
            <w:pPr>
              <w:widowControl/>
              <w:spacing w:line="380" w:lineRule="exact"/>
              <w:ind w:firstLine="482"/>
              <w:jc w:val="center"/>
              <w:rPr>
                <w:rFonts w:ascii="仿宋" w:hAnsi="仿宋" w:eastAsia="仿宋"/>
                <w:b/>
                <w:sz w:val="24"/>
              </w:rPr>
            </w:pPr>
            <w:r>
              <w:rPr>
                <w:rFonts w:hint="eastAsia" w:ascii="仿宋" w:hAnsi="仿宋" w:eastAsia="仿宋"/>
                <w:b/>
                <w:sz w:val="24"/>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55" w:type="dxa"/>
            <w:vMerge w:val="restart"/>
            <w:vAlign w:val="center"/>
          </w:tcPr>
          <w:p>
            <w:pPr>
              <w:widowControl/>
              <w:spacing w:line="380" w:lineRule="exact"/>
              <w:jc w:val="both"/>
              <w:rPr>
                <w:rFonts w:ascii="仿宋" w:hAnsi="仿宋" w:eastAsia="仿宋"/>
                <w:sz w:val="24"/>
              </w:rPr>
            </w:pPr>
            <w:r>
              <w:rPr>
                <w:rFonts w:hint="eastAsia" w:ascii="仿宋" w:hAnsi="仿宋" w:eastAsia="仿宋"/>
                <w:sz w:val="24"/>
              </w:rPr>
              <w:t>优秀岗位奖</w:t>
            </w: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优秀施工员</w:t>
            </w:r>
          </w:p>
        </w:tc>
        <w:tc>
          <w:tcPr>
            <w:tcW w:w="1233" w:type="dxa"/>
            <w:vAlign w:val="center"/>
          </w:tcPr>
          <w:p>
            <w:pPr>
              <w:widowControl/>
              <w:spacing w:line="380" w:lineRule="exact"/>
              <w:ind w:firstLine="480"/>
              <w:jc w:val="center"/>
              <w:rPr>
                <w:rFonts w:ascii="仿宋" w:hAnsi="仿宋" w:eastAsia="仿宋"/>
                <w:sz w:val="24"/>
              </w:rP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优秀预算员</w:t>
            </w:r>
          </w:p>
        </w:tc>
        <w:tc>
          <w:tcPr>
            <w:tcW w:w="1233" w:type="dxa"/>
            <w:vAlign w:val="center"/>
          </w:tcPr>
          <w:p>
            <w:pPr>
              <w:ind w:firstLine="480"/>
              <w:jc w:val="cente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优秀材料试验员</w:t>
            </w:r>
          </w:p>
        </w:tc>
        <w:tc>
          <w:tcPr>
            <w:tcW w:w="1233" w:type="dxa"/>
            <w:vAlign w:val="center"/>
          </w:tcPr>
          <w:p>
            <w:pPr>
              <w:ind w:firstLine="480"/>
              <w:jc w:val="cente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优秀测量员</w:t>
            </w:r>
          </w:p>
        </w:tc>
        <w:tc>
          <w:tcPr>
            <w:tcW w:w="1233" w:type="dxa"/>
            <w:vAlign w:val="center"/>
          </w:tcPr>
          <w:p>
            <w:pPr>
              <w:ind w:firstLine="480"/>
              <w:jc w:val="cente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优秀质量安全员</w:t>
            </w:r>
          </w:p>
        </w:tc>
        <w:tc>
          <w:tcPr>
            <w:tcW w:w="1233" w:type="dxa"/>
            <w:vAlign w:val="center"/>
          </w:tcPr>
          <w:p>
            <w:pPr>
              <w:widowControl/>
              <w:spacing w:line="380" w:lineRule="exact"/>
              <w:ind w:firstLine="480"/>
              <w:jc w:val="center"/>
              <w:rPr>
                <w:rFonts w:ascii="仿宋" w:hAnsi="仿宋" w:eastAsia="仿宋"/>
                <w:sz w:val="24"/>
              </w:rP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55" w:type="dxa"/>
            <w:vMerge w:val="restart"/>
            <w:vAlign w:val="center"/>
          </w:tcPr>
          <w:p>
            <w:pPr>
              <w:widowControl/>
              <w:spacing w:line="380" w:lineRule="exact"/>
              <w:jc w:val="both"/>
              <w:rPr>
                <w:rFonts w:ascii="仿宋" w:hAnsi="仿宋" w:eastAsia="仿宋"/>
                <w:sz w:val="24"/>
              </w:rPr>
            </w:pPr>
            <w:r>
              <w:rPr>
                <w:rFonts w:hint="eastAsia" w:ascii="仿宋" w:hAnsi="仿宋" w:eastAsia="仿宋"/>
                <w:sz w:val="24"/>
              </w:rPr>
              <w:t>金牌项目部奖</w:t>
            </w: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一等奖</w:t>
            </w:r>
          </w:p>
        </w:tc>
        <w:tc>
          <w:tcPr>
            <w:tcW w:w="1233" w:type="dxa"/>
            <w:vAlign w:val="center"/>
          </w:tcPr>
          <w:p>
            <w:pPr>
              <w:widowControl/>
              <w:spacing w:line="380" w:lineRule="exact"/>
              <w:ind w:firstLine="480"/>
              <w:jc w:val="center"/>
              <w:rPr>
                <w:rFonts w:ascii="仿宋" w:hAnsi="仿宋" w:eastAsia="仿宋"/>
                <w:sz w:val="24"/>
              </w:rPr>
            </w:pPr>
            <w:r>
              <w:rPr>
                <w:rFonts w:hint="eastAsia" w:ascii="仿宋" w:hAnsi="仿宋" w:eastAsia="仿宋"/>
                <w:sz w:val="24"/>
              </w:rPr>
              <w:t>10%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奖杯+证书+奖金卡（价值2000元）+岗位仿真软件单机锁一年使用权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二等奖</w:t>
            </w:r>
          </w:p>
        </w:tc>
        <w:tc>
          <w:tcPr>
            <w:tcW w:w="1233" w:type="dxa"/>
            <w:vAlign w:val="center"/>
          </w:tcPr>
          <w:p>
            <w:pPr>
              <w:widowControl/>
              <w:spacing w:line="380" w:lineRule="exact"/>
              <w:ind w:firstLine="480"/>
              <w:jc w:val="center"/>
              <w:rPr>
                <w:rFonts w:ascii="仿宋" w:hAnsi="仿宋" w:eastAsia="仿宋"/>
                <w:sz w:val="24"/>
              </w:rPr>
            </w:pPr>
            <w:r>
              <w:rPr>
                <w:rFonts w:hint="eastAsia" w:ascii="仿宋" w:hAnsi="仿宋" w:eastAsia="仿宋"/>
                <w:sz w:val="24"/>
              </w:rPr>
              <w:t>20%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证书+奖金卡（价值1000元）+岗位仿真软件单机锁一年使用权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55" w:type="dxa"/>
            <w:vMerge w:val="continue"/>
            <w:vAlign w:val="center"/>
          </w:tcPr>
          <w:p>
            <w:pPr>
              <w:widowControl/>
              <w:spacing w:line="380" w:lineRule="exact"/>
              <w:ind w:firstLine="480"/>
              <w:jc w:val="center"/>
              <w:rPr>
                <w:rFonts w:ascii="仿宋" w:hAnsi="仿宋" w:eastAsia="仿宋"/>
                <w:sz w:val="24"/>
                <w:lang w:eastAsia="zh-CN"/>
              </w:rPr>
            </w:pPr>
          </w:p>
        </w:tc>
        <w:tc>
          <w:tcPr>
            <w:tcW w:w="1900" w:type="dxa"/>
            <w:vAlign w:val="center"/>
          </w:tcPr>
          <w:p>
            <w:pPr>
              <w:widowControl/>
              <w:spacing w:line="380" w:lineRule="exact"/>
              <w:jc w:val="both"/>
              <w:rPr>
                <w:rFonts w:ascii="仿宋" w:hAnsi="仿宋" w:eastAsia="仿宋"/>
                <w:sz w:val="24"/>
              </w:rPr>
            </w:pPr>
            <w:r>
              <w:rPr>
                <w:rFonts w:hint="eastAsia" w:ascii="仿宋" w:hAnsi="仿宋" w:eastAsia="仿宋"/>
                <w:sz w:val="24"/>
              </w:rPr>
              <w:t>三等奖</w:t>
            </w:r>
          </w:p>
        </w:tc>
        <w:tc>
          <w:tcPr>
            <w:tcW w:w="1233" w:type="dxa"/>
            <w:vAlign w:val="center"/>
          </w:tcPr>
          <w:p>
            <w:pPr>
              <w:widowControl/>
              <w:spacing w:line="380" w:lineRule="exact"/>
              <w:ind w:firstLine="480"/>
              <w:jc w:val="center"/>
              <w:rPr>
                <w:rFonts w:ascii="仿宋" w:hAnsi="仿宋" w:eastAsia="仿宋"/>
                <w:sz w:val="24"/>
              </w:rPr>
            </w:pPr>
            <w:r>
              <w:rPr>
                <w:rFonts w:hint="eastAsia" w:ascii="仿宋" w:hAnsi="仿宋" w:eastAsia="仿宋"/>
                <w:sz w:val="24"/>
              </w:rPr>
              <w:t>30%</w:t>
            </w:r>
          </w:p>
        </w:tc>
        <w:tc>
          <w:tcPr>
            <w:tcW w:w="4717" w:type="dxa"/>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证书+奖金(价值500元)+ 岗位仿真软件单机锁半年使用权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505" w:type="dxa"/>
            <w:gridSpan w:val="4"/>
            <w:vAlign w:val="center"/>
          </w:tcPr>
          <w:p>
            <w:pPr>
              <w:widowControl/>
              <w:spacing w:line="380" w:lineRule="exact"/>
              <w:ind w:firstLine="480"/>
              <w:rPr>
                <w:rFonts w:ascii="仿宋" w:hAnsi="仿宋" w:eastAsia="仿宋"/>
                <w:sz w:val="24"/>
                <w:lang w:eastAsia="zh-CN"/>
              </w:rPr>
            </w:pPr>
            <w:r>
              <w:rPr>
                <w:rFonts w:hint="eastAsia" w:ascii="仿宋" w:hAnsi="仿宋" w:eastAsia="仿宋"/>
                <w:sz w:val="24"/>
                <w:lang w:eastAsia="zh-CN"/>
              </w:rPr>
              <w:t>备注：金牌项目部奖不与优秀岗位奖奖金卡兼得，取二者高值。</w:t>
            </w:r>
          </w:p>
        </w:tc>
      </w:tr>
    </w:tbl>
    <w:p>
      <w:pPr>
        <w:pStyle w:val="3"/>
        <w:spacing w:before="64" w:line="360" w:lineRule="auto"/>
        <w:rPr>
          <w:rFonts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 xml:space="preserve"> </w:t>
      </w:r>
      <w:bookmarkStart w:id="2" w:name="七、培训和答疑_"/>
      <w:bookmarkEnd w:id="2"/>
      <w:r>
        <w:rPr>
          <w:rFonts w:hint="eastAsia" w:asciiTheme="minorEastAsia" w:hAnsiTheme="minorEastAsia" w:eastAsiaTheme="minorEastAsia" w:cstheme="minorEastAsia"/>
          <w:sz w:val="30"/>
          <w:szCs w:val="30"/>
          <w:lang w:eastAsia="zh-CN"/>
        </w:rPr>
        <w:t>七、培训和答疑</w:t>
      </w:r>
    </w:p>
    <w:p>
      <w:pPr>
        <w:pStyle w:val="5"/>
        <w:spacing w:before="57" w:line="360" w:lineRule="auto"/>
        <w:ind w:left="0" w:firstLine="600" w:firstLineChars="200"/>
        <w:rPr>
          <w:lang w:eastAsia="zh-CN"/>
        </w:rPr>
      </w:pPr>
      <w:r>
        <w:rPr>
          <w:lang w:eastAsia="zh-CN"/>
        </w:rPr>
        <w:t>(一)在线学习</w:t>
      </w:r>
      <w:r>
        <w:rPr>
          <w:rFonts w:hint="eastAsia"/>
          <w:lang w:eastAsia="zh-CN"/>
        </w:rPr>
        <w:t xml:space="preserve"> </w:t>
      </w:r>
    </w:p>
    <w:p>
      <w:pPr>
        <w:pStyle w:val="5"/>
        <w:spacing w:before="57" w:line="360" w:lineRule="auto"/>
        <w:ind w:left="0" w:firstLine="600" w:firstLineChars="200"/>
        <w:rPr>
          <w:lang w:eastAsia="zh-CN"/>
        </w:rPr>
      </w:pPr>
      <w:r>
        <w:rPr>
          <w:rFonts w:hint="eastAsia"/>
          <w:lang w:eastAsia="zh-CN"/>
        </w:rPr>
        <w:t xml:space="preserve">参赛学生可以随时登录大赛官网，在线学习录播和直播课程。 </w:t>
      </w:r>
    </w:p>
    <w:p>
      <w:pPr>
        <w:pStyle w:val="5"/>
        <w:spacing w:before="57" w:line="360" w:lineRule="auto"/>
        <w:ind w:left="0" w:firstLine="600" w:firstLineChars="200"/>
        <w:rPr>
          <w:lang w:eastAsia="zh-CN"/>
        </w:rPr>
      </w:pPr>
      <w:r>
        <w:rPr>
          <w:rFonts w:hint="eastAsia"/>
          <w:lang w:eastAsia="zh-CN"/>
        </w:rPr>
        <w:t xml:space="preserve">(二)师资培训 </w:t>
      </w:r>
    </w:p>
    <w:p>
      <w:pPr>
        <w:pStyle w:val="5"/>
        <w:spacing w:before="57" w:line="360" w:lineRule="auto"/>
        <w:ind w:left="0" w:firstLine="600" w:firstLineChars="200"/>
        <w:jc w:val="both"/>
        <w:rPr>
          <w:lang w:eastAsia="zh-CN"/>
        </w:rPr>
      </w:pPr>
      <w:r>
        <w:rPr>
          <w:rFonts w:hint="eastAsia"/>
          <w:lang w:eastAsia="zh-CN"/>
        </w:rPr>
        <w:t xml:space="preserve">大赛组委会将于2019年7月下旬和8月上旬举办全国暑期师资培训班，届时将对考试大纲进行详细讲解，模拟总决赛考试模式对软件操作进行深度培训。培训通知计划于2019年5月底发布，请参赛老师及时关注大赛官网，进行在线报名。 </w:t>
      </w:r>
    </w:p>
    <w:p>
      <w:pPr>
        <w:pStyle w:val="5"/>
        <w:spacing w:before="57" w:line="360" w:lineRule="auto"/>
        <w:ind w:left="0" w:firstLine="600" w:firstLineChars="200"/>
        <w:rPr>
          <w:lang w:eastAsia="zh-CN"/>
        </w:rPr>
      </w:pPr>
      <w:r>
        <w:rPr>
          <w:rFonts w:hint="eastAsia"/>
          <w:lang w:eastAsia="zh-CN"/>
        </w:rPr>
        <w:t xml:space="preserve">(三)练习试题 </w:t>
      </w:r>
    </w:p>
    <w:p>
      <w:pPr>
        <w:pStyle w:val="5"/>
        <w:spacing w:before="57" w:line="360" w:lineRule="auto"/>
        <w:ind w:left="0" w:firstLine="600" w:firstLineChars="200"/>
        <w:rPr>
          <w:lang w:eastAsia="zh-CN"/>
        </w:rPr>
      </w:pPr>
      <w:r>
        <w:rPr>
          <w:rFonts w:hint="eastAsia"/>
          <w:lang w:eastAsia="zh-CN"/>
        </w:rPr>
        <w:t xml:space="preserve">大赛组委会将提供一套符合完整赛制的练习试题，定于2019年6月发布在大赛官方网站上。 </w:t>
      </w:r>
    </w:p>
    <w:p>
      <w:pPr>
        <w:pStyle w:val="5"/>
        <w:spacing w:before="57" w:line="360" w:lineRule="auto"/>
        <w:ind w:left="0" w:firstLine="600" w:firstLineChars="200"/>
        <w:rPr>
          <w:lang w:eastAsia="zh-CN"/>
        </w:rPr>
      </w:pPr>
      <w:r>
        <w:rPr>
          <w:rFonts w:hint="eastAsia"/>
          <w:lang w:eastAsia="zh-CN"/>
        </w:rPr>
        <w:t xml:space="preserve">(四)大赛答疑 </w:t>
      </w:r>
    </w:p>
    <w:p>
      <w:pPr>
        <w:pStyle w:val="5"/>
        <w:spacing w:before="57" w:line="360" w:lineRule="auto"/>
        <w:ind w:left="0" w:firstLine="600" w:firstLineChars="200"/>
        <w:rPr>
          <w:lang w:eastAsia="zh-CN"/>
        </w:rPr>
      </w:pPr>
      <w:r>
        <w:rPr>
          <w:rFonts w:hint="eastAsia"/>
          <w:lang w:eastAsia="zh-CN"/>
        </w:rPr>
        <w:t xml:space="preserve">1.答疑交流群 </w:t>
      </w:r>
    </w:p>
    <w:p>
      <w:pPr>
        <w:pStyle w:val="5"/>
        <w:spacing w:before="57" w:line="360" w:lineRule="auto"/>
        <w:ind w:left="0" w:firstLine="600" w:firstLineChars="200"/>
        <w:rPr>
          <w:lang w:eastAsia="zh-CN"/>
        </w:rPr>
      </w:pPr>
      <w:r>
        <w:rPr>
          <w:rFonts w:hint="eastAsia"/>
          <w:lang w:eastAsia="zh-CN"/>
        </w:rPr>
        <w:t>大赛教师</w:t>
      </w:r>
      <w:r>
        <w:rPr>
          <w:lang w:eastAsia="zh-CN"/>
        </w:rPr>
        <w:t>QQ</w:t>
      </w:r>
      <w:r>
        <w:rPr>
          <w:rFonts w:hint="eastAsia"/>
          <w:lang w:eastAsia="zh-CN"/>
        </w:rPr>
        <w:t xml:space="preserve"> 群（544505672），参赛学生请加入BIM仿真大赛学生</w:t>
      </w:r>
      <w:r>
        <w:rPr>
          <w:lang w:eastAsia="zh-CN"/>
        </w:rPr>
        <w:t>QQ</w:t>
      </w:r>
      <w:r>
        <w:rPr>
          <w:rFonts w:hint="eastAsia"/>
          <w:lang w:eastAsia="zh-CN"/>
        </w:rPr>
        <w:t xml:space="preserve">群（549825943)。 </w:t>
      </w:r>
    </w:p>
    <w:p>
      <w:pPr>
        <w:pStyle w:val="5"/>
        <w:spacing w:before="57" w:line="360" w:lineRule="auto"/>
        <w:ind w:left="0" w:firstLine="600" w:firstLineChars="200"/>
        <w:rPr>
          <w:lang w:eastAsia="zh-CN"/>
        </w:rPr>
      </w:pPr>
      <w:r>
        <w:rPr>
          <w:rFonts w:hint="eastAsia"/>
          <w:lang w:eastAsia="zh-CN"/>
        </w:rPr>
        <w:t xml:space="preserve">2.直播或录播课 </w:t>
      </w:r>
    </w:p>
    <w:p>
      <w:pPr>
        <w:pStyle w:val="5"/>
        <w:spacing w:before="57" w:line="360" w:lineRule="auto"/>
        <w:ind w:left="0" w:firstLine="600" w:firstLineChars="200"/>
        <w:rPr>
          <w:lang w:eastAsia="zh-CN"/>
        </w:rPr>
      </w:pPr>
      <w:r>
        <w:rPr>
          <w:rFonts w:hint="eastAsia"/>
          <w:lang w:eastAsia="zh-CN"/>
        </w:rPr>
        <w:t>大赛组委会将不定期安排网络直播课程进行在线答疑，请大家留意官网公告。</w:t>
      </w:r>
    </w:p>
    <w:p>
      <w:pPr>
        <w:pStyle w:val="5"/>
        <w:spacing w:before="57"/>
        <w:ind w:left="0" w:firstLine="440"/>
        <w:rPr>
          <w:lang w:eastAsia="zh-CN"/>
        </w:rPr>
      </w:pPr>
    </w:p>
    <w:sectPr>
      <w:footerReference r:id="rId3" w:type="default"/>
      <w:pgSz w:w="11910" w:h="16840"/>
      <w:pgMar w:top="1480" w:right="1620" w:bottom="1180" w:left="160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3697605</wp:posOffset>
              </wp:positionH>
              <wp:positionV relativeFrom="page">
                <wp:posOffset>9921875</wp:posOffset>
              </wp:positionV>
              <wp:extent cx="166370"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25pt;height:12pt;width:13.1pt;mso-position-horizontal-relative:page;mso-position-vertical-relative:page;z-index:-251658240;mso-width-relative:page;mso-height-relative:page;" filled="f" stroked="f" coordsize="21600,21600" o:gfxdata="UEsDBAoAAAAAAIdO4kAAAAAAAAAAAAAAAAAEAAAAZHJzL1BLAwQUAAAACACHTuJAU48VQ9oAAAAN&#10;AQAADwAAAGRycy9kb3ducmV2LnhtbE2PzU7DMBCE70i8g7VI3KjdoFghxKkQghMSIg0Hjk7sJlbj&#10;dYjdH96e7Qluuzuj2W+qzdlP7GiX6AIqWK8EMIt9MA4HBZ/t610BLCaNRk8BrYIfG2FTX19VujTh&#10;hI09btPAKARjqRWMKc0l57EfrddxFWaLpO3C4nWidRm4WfSJwv3EMyEk99ohfRj1bJ9H2++3B6/g&#10;6QubF/f93n00u8a17YPAN7lX6vZmLR6BJXtOf2a44BM61MTUhQOayCYFeZHdk5WEXGY5MLJIUdDQ&#10;XU6FzIHXFf/fov4FUEsDBBQAAAAIAIdO4kAFURTZnQEAACMDAAAOAAAAZHJzL2Uyb0RvYy54bWyt&#10;UkuOEzEQ3SNxB8t74k6AgFrpjIRGg5AQIA0cwHHbaUu2yyp70p0LwA1YsWHPuXIOyp50hs8OsbHL&#10;VeXn9155czV5xw4ak4XQ8eWi4UwHBb0N+45/+njz5CVnKcvQSwdBd/yoE7/aPn60GWOrVzCA6zUy&#10;AgmpHWPHh5xjK0RSg/YyLSDqQEUD6GWmI+5Fj3IkdO/EqmnWYgTsI4LSKVH2+r7ItxXfGK3ye2OS&#10;zsx1nLjlumJdd2UV241s9yjjYNWZhvwHFl7aQI9eoK5lluwO7V9Q3iqEBCYvFHgBxlilqwZSs2z+&#10;UHM7yKirFjInxYtN6f/BqneHD8hs3/EVZ0F6GtHp65fTtx+n75/ZstgzxtRS122kvjy9gonGPOcT&#10;JYvqyaAvO+lhVCejjxdz9ZSZKpfW66cvqKKotHy+etZU88XD5Ygpv9bgWQk6jjS7aqk8vE2ZiFDr&#10;3FLeCnBjnavzc+G3BDWWjCjM7xmWKE+76SxnB/2R1Lg3gZwsv2IOcA52c3AX0e4HolM1V0iaRCVz&#10;/jVl1L+e68MPf3v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OPFUPaAAAADQEAAA8AAAAAAAAA&#10;AQAgAAAAIgAAAGRycy9kb3ducmV2LnhtbFBLAQIUABQAAAAIAIdO4kAFURTZnQEAACMDAAAOAAAA&#10;AAAAAAEAIAAAACkBAABkcnMvZTJvRG9jLnhtbFBLBQYAAAAABgAGAFkBAAA4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C51B6"/>
    <w:multiLevelType w:val="singleLevel"/>
    <w:tmpl w:val="FBBC51B6"/>
    <w:lvl w:ilvl="0" w:tentative="0">
      <w:start w:val="4"/>
      <w:numFmt w:val="chineseCounting"/>
      <w:suff w:val="space"/>
      <w:lvlText w:val="%1、"/>
      <w:lvlJc w:val="left"/>
      <w:rPr>
        <w:rFonts w:hint="eastAsia"/>
      </w:rPr>
    </w:lvl>
  </w:abstractNum>
  <w:abstractNum w:abstractNumId="1">
    <w:nsid w:val="00000013"/>
    <w:multiLevelType w:val="multilevel"/>
    <w:tmpl w:val="00000013"/>
    <w:lvl w:ilvl="0" w:tentative="0">
      <w:start w:val="1"/>
      <w:numFmt w:val="japaneseCounting"/>
      <w:lvlText w:val="(%1)"/>
      <w:lvlJc w:val="left"/>
      <w:pPr>
        <w:ind w:left="420" w:hanging="420"/>
        <w:jc w:val="both"/>
      </w:p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24"/>
    <w:rsid w:val="00131D78"/>
    <w:rsid w:val="001E1D7A"/>
    <w:rsid w:val="002018D0"/>
    <w:rsid w:val="002D3AC7"/>
    <w:rsid w:val="00383F4B"/>
    <w:rsid w:val="003B6057"/>
    <w:rsid w:val="003C6725"/>
    <w:rsid w:val="004A26A4"/>
    <w:rsid w:val="005066BC"/>
    <w:rsid w:val="00621AE2"/>
    <w:rsid w:val="0067206D"/>
    <w:rsid w:val="00742EA7"/>
    <w:rsid w:val="008939B6"/>
    <w:rsid w:val="008B7A3C"/>
    <w:rsid w:val="009610C1"/>
    <w:rsid w:val="009A1C86"/>
    <w:rsid w:val="00A15461"/>
    <w:rsid w:val="00AB4E12"/>
    <w:rsid w:val="00B27CFD"/>
    <w:rsid w:val="00BC3C14"/>
    <w:rsid w:val="00BC6E24"/>
    <w:rsid w:val="00C050E2"/>
    <w:rsid w:val="00C829CB"/>
    <w:rsid w:val="00C90CB1"/>
    <w:rsid w:val="00C92079"/>
    <w:rsid w:val="00CF59FD"/>
    <w:rsid w:val="00D76031"/>
    <w:rsid w:val="00DE3BE6"/>
    <w:rsid w:val="00DF5C60"/>
    <w:rsid w:val="00E05281"/>
    <w:rsid w:val="00F8541B"/>
    <w:rsid w:val="01046E42"/>
    <w:rsid w:val="025F3774"/>
    <w:rsid w:val="0348646A"/>
    <w:rsid w:val="06A267BD"/>
    <w:rsid w:val="06C410B7"/>
    <w:rsid w:val="06EC78ED"/>
    <w:rsid w:val="0D9E0AD6"/>
    <w:rsid w:val="1176694E"/>
    <w:rsid w:val="136D364F"/>
    <w:rsid w:val="15235401"/>
    <w:rsid w:val="16DF16F1"/>
    <w:rsid w:val="17137F1C"/>
    <w:rsid w:val="17D34CF2"/>
    <w:rsid w:val="1AC81A70"/>
    <w:rsid w:val="1C3527F8"/>
    <w:rsid w:val="2060534F"/>
    <w:rsid w:val="217B24F9"/>
    <w:rsid w:val="253E0598"/>
    <w:rsid w:val="2640764D"/>
    <w:rsid w:val="27555844"/>
    <w:rsid w:val="286764A5"/>
    <w:rsid w:val="28980DE3"/>
    <w:rsid w:val="29A84130"/>
    <w:rsid w:val="2B460E45"/>
    <w:rsid w:val="2B771594"/>
    <w:rsid w:val="2EE138A6"/>
    <w:rsid w:val="2F017556"/>
    <w:rsid w:val="2F787240"/>
    <w:rsid w:val="30A74FD8"/>
    <w:rsid w:val="320A7365"/>
    <w:rsid w:val="32A56C8A"/>
    <w:rsid w:val="34DC2DAA"/>
    <w:rsid w:val="37A71CCB"/>
    <w:rsid w:val="398E35CC"/>
    <w:rsid w:val="3AD248A0"/>
    <w:rsid w:val="3E73670C"/>
    <w:rsid w:val="40AF2251"/>
    <w:rsid w:val="41062356"/>
    <w:rsid w:val="41A2288B"/>
    <w:rsid w:val="423020FB"/>
    <w:rsid w:val="42960059"/>
    <w:rsid w:val="42986E60"/>
    <w:rsid w:val="440D68D0"/>
    <w:rsid w:val="44335E01"/>
    <w:rsid w:val="450A2C09"/>
    <w:rsid w:val="450A4437"/>
    <w:rsid w:val="45814BAE"/>
    <w:rsid w:val="45F7026B"/>
    <w:rsid w:val="472A311D"/>
    <w:rsid w:val="47625554"/>
    <w:rsid w:val="498F0318"/>
    <w:rsid w:val="49EE27AB"/>
    <w:rsid w:val="4B4217B4"/>
    <w:rsid w:val="4E4A788D"/>
    <w:rsid w:val="501E43AF"/>
    <w:rsid w:val="507D69C2"/>
    <w:rsid w:val="5110384F"/>
    <w:rsid w:val="52D729C4"/>
    <w:rsid w:val="55AD3950"/>
    <w:rsid w:val="5715380C"/>
    <w:rsid w:val="57270159"/>
    <w:rsid w:val="58676032"/>
    <w:rsid w:val="58FB78DA"/>
    <w:rsid w:val="5951760F"/>
    <w:rsid w:val="59ED7B88"/>
    <w:rsid w:val="5A621907"/>
    <w:rsid w:val="5BDD1D77"/>
    <w:rsid w:val="5DB461B0"/>
    <w:rsid w:val="5EBE5112"/>
    <w:rsid w:val="5F744FCB"/>
    <w:rsid w:val="6942078B"/>
    <w:rsid w:val="6E6D557B"/>
    <w:rsid w:val="73F46B36"/>
    <w:rsid w:val="74423771"/>
    <w:rsid w:val="744C5974"/>
    <w:rsid w:val="755266A8"/>
    <w:rsid w:val="77186DB7"/>
    <w:rsid w:val="798A0E72"/>
    <w:rsid w:val="7AE67CCD"/>
    <w:rsid w:val="7B7E442E"/>
    <w:rsid w:val="7BC156DA"/>
    <w:rsid w:val="7BF6609C"/>
    <w:rsid w:val="7D595995"/>
    <w:rsid w:val="7DAC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68"/>
      <w:ind w:left="1104"/>
      <w:outlineLvl w:val="0"/>
    </w:pPr>
    <w:rPr>
      <w:rFonts w:ascii="Microsoft JhengHei" w:hAnsi="Microsoft JhengHei" w:eastAsia="Microsoft JhengHei" w:cs="Microsoft JhengHei"/>
      <w:b/>
      <w:bCs/>
      <w:sz w:val="36"/>
      <w:szCs w:val="36"/>
    </w:rPr>
  </w:style>
  <w:style w:type="paragraph" w:styleId="3">
    <w:name w:val="heading 2"/>
    <w:basedOn w:val="1"/>
    <w:next w:val="1"/>
    <w:qFormat/>
    <w:uiPriority w:val="1"/>
    <w:pPr>
      <w:ind w:left="660"/>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101"/>
      <w:outlineLvl w:val="2"/>
    </w:pPr>
    <w:rPr>
      <w:rFonts w:ascii="Microsoft JhengHei" w:hAnsi="Microsoft JhengHei" w:eastAsia="Microsoft JhengHei" w:cs="Microsoft JhengHei"/>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pPr>
      <w:spacing w:before="231"/>
      <w:ind w:left="101"/>
    </w:pPr>
    <w:rPr>
      <w:sz w:val="30"/>
      <w:szCs w:val="30"/>
    </w:rPr>
  </w:style>
  <w:style w:type="paragraph" w:styleId="6">
    <w:name w:val="Balloon Text"/>
    <w:basedOn w:val="1"/>
    <w:link w:val="19"/>
    <w:semiHidden/>
    <w:unhideWhenUsed/>
    <w:qFormat/>
    <w:uiPriority w:val="99"/>
    <w:rPr>
      <w:sz w:val="18"/>
      <w:szCs w:val="18"/>
    </w:rPr>
  </w:style>
  <w:style w:type="paragraph" w:styleId="7">
    <w:name w:val="Normal (Web)"/>
    <w:basedOn w:val="1"/>
    <w:unhideWhenUsed/>
    <w:qFormat/>
    <w:uiPriority w:val="99"/>
    <w:pPr>
      <w:widowControl/>
    </w:pPr>
    <w:rPr>
      <w:sz w:val="24"/>
      <w:szCs w:val="24"/>
    </w:rPr>
  </w:style>
  <w:style w:type="paragraph" w:styleId="8">
    <w:name w:val="Title"/>
    <w:basedOn w:val="1"/>
    <w:next w:val="1"/>
    <w:qFormat/>
    <w:uiPriority w:val="6"/>
    <w:pPr>
      <w:widowControl/>
      <w:jc w:val="center"/>
    </w:pPr>
    <w:rPr>
      <w:rFonts w:ascii="Calibri Light" w:hAnsi="Calibri Light" w:eastAsia="Times New Roman"/>
      <w:b/>
      <w:sz w:val="32"/>
      <w:szCs w:val="32"/>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0"/>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spacing w:before="54"/>
      <w:ind w:left="101" w:firstLine="567"/>
    </w:pPr>
  </w:style>
  <w:style w:type="paragraph" w:customStyle="1" w:styleId="16">
    <w:name w:val="Table Paragraph"/>
    <w:basedOn w:val="1"/>
    <w:qFormat/>
    <w:uiPriority w:val="1"/>
    <w:pPr>
      <w:jc w:val="center"/>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99"/>
    <w:pPr>
      <w:ind w:firstLine="420" w:firstLineChars="200"/>
    </w:pPr>
  </w:style>
  <w:style w:type="character" w:customStyle="1" w:styleId="19">
    <w:name w:val="批注框文本 Char"/>
    <w:basedOn w:val="11"/>
    <w:link w:val="6"/>
    <w:semiHidden/>
    <w:qFormat/>
    <w:uiPriority w:val="99"/>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1860</Words>
  <Characters>10608</Characters>
  <Lines>88</Lines>
  <Paragraphs>24</Paragraphs>
  <TotalTime>38</TotalTime>
  <ScaleCrop>false</ScaleCrop>
  <LinksUpToDate>false</LinksUpToDate>
  <CharactersWithSpaces>12444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2018-06-01T09:25:00Z</dcterms:created>
  <dc:creator>微软中国</dc:creator>
  <cp:lastModifiedBy>修儿</cp:lastModifiedBy>
  <cp:lastPrinted>2019-04-04T03:24:00Z</cp:lastPrinted>
  <dcterms:modified xsi:type="dcterms:W3CDTF">2019-04-10T01:41:22Z</dcterms:modified>
  <dc:title>中国建设教育协会发文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WPS Office</vt:lpwstr>
  </property>
  <property fmtid="{D5CDD505-2E9C-101B-9397-08002B2CF9AE}" pid="4" name="LastSaved">
    <vt:filetime>2018-06-01T00:00:00Z</vt:filetime>
  </property>
  <property fmtid="{D5CDD505-2E9C-101B-9397-08002B2CF9AE}" pid="5" name="KSOProductBuildVer">
    <vt:lpwstr>2052-11.1.0.8567</vt:lpwstr>
  </property>
</Properties>
</file>