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eastAsia="zh-CN"/>
        </w:rPr>
      </w:pPr>
    </w:p>
    <w:p>
      <w:pPr>
        <w:pStyle w:val="5"/>
        <w:spacing w:before="0" w:line="381" w:lineRule="exact"/>
        <w:rPr>
          <w:sz w:val="32"/>
          <w:szCs w:val="32"/>
          <w:lang w:eastAsia="zh-CN"/>
        </w:rPr>
      </w:pPr>
      <w:r>
        <w:rPr>
          <w:rFonts w:hint="eastAsia"/>
          <w:sz w:val="32"/>
          <w:szCs w:val="32"/>
          <w:lang w:eastAsia="zh-CN"/>
        </w:rPr>
        <w:t>附件1：</w:t>
      </w:r>
    </w:p>
    <w:p>
      <w:pPr>
        <w:pStyle w:val="2"/>
        <w:keepNext w:val="0"/>
        <w:keepLines w:val="0"/>
        <w:pageBreakBefore w:val="0"/>
        <w:widowControl w:val="0"/>
        <w:kinsoku/>
        <w:wordWrap/>
        <w:overflowPunct/>
        <w:topLinePunct w:val="0"/>
        <w:autoSpaceDE w:val="0"/>
        <w:autoSpaceDN w:val="0"/>
        <w:bidi w:val="0"/>
        <w:adjustRightInd/>
        <w:snapToGrid/>
        <w:spacing w:before="340" w:after="330" w:line="240" w:lineRule="auto"/>
        <w:ind w:left="1106"/>
        <w:jc w:val="center"/>
        <w:textAlignment w:val="auto"/>
        <w:rPr>
          <w:rFonts w:ascii="黑体" w:hAnsi="黑体" w:eastAsia="黑体"/>
          <w:b w:val="0"/>
          <w:color w:val="000000" w:themeColor="text1"/>
          <w:lang w:eastAsia="zh-CN"/>
          <w14:textFill>
            <w14:solidFill>
              <w14:schemeClr w14:val="tx1"/>
            </w14:solidFill>
          </w14:textFill>
        </w:rPr>
      </w:pPr>
      <w:r>
        <w:rPr>
          <w:rFonts w:hint="eastAsia" w:ascii="黑体" w:hAnsi="黑体" w:eastAsia="黑体"/>
          <w:b w:val="0"/>
          <w:color w:val="000000" w:themeColor="text1"/>
          <w:lang w:eastAsia="zh-CN"/>
          <w14:textFill>
            <w14:solidFill>
              <w14:schemeClr w14:val="tx1"/>
            </w14:solidFill>
          </w14:textFill>
        </w:rPr>
        <w:t>BIM全过程造价管理</w:t>
      </w:r>
      <w:r>
        <w:rPr>
          <w:rFonts w:ascii="黑体" w:hAnsi="黑体" w:eastAsia="黑体"/>
          <w:b w:val="0"/>
          <w:color w:val="000000" w:themeColor="text1"/>
          <w:lang w:eastAsia="zh-CN"/>
          <w14:textFill>
            <w14:solidFill>
              <w14:schemeClr w14:val="tx1"/>
            </w14:solidFill>
          </w14:textFill>
        </w:rPr>
        <w:t>技能大赛</w:t>
      </w:r>
    </w:p>
    <w:p>
      <w:pPr>
        <w:pStyle w:val="2"/>
        <w:keepNext w:val="0"/>
        <w:keepLines w:val="0"/>
        <w:pageBreakBefore w:val="0"/>
        <w:widowControl w:val="0"/>
        <w:kinsoku/>
        <w:wordWrap/>
        <w:overflowPunct/>
        <w:topLinePunct w:val="0"/>
        <w:autoSpaceDE w:val="0"/>
        <w:autoSpaceDN w:val="0"/>
        <w:bidi w:val="0"/>
        <w:adjustRightInd/>
        <w:snapToGrid/>
        <w:spacing w:before="340" w:after="330" w:line="240" w:lineRule="auto"/>
        <w:ind w:left="1106"/>
        <w:jc w:val="center"/>
        <w:textAlignment w:val="auto"/>
        <w:rPr>
          <w:rFonts w:ascii="黑体" w:hAnsi="黑体" w:eastAsia="黑体"/>
          <w:b w:val="0"/>
        </w:rPr>
      </w:pPr>
      <w:r>
        <w:rPr>
          <w:rFonts w:ascii="黑体" w:hAnsi="黑体" w:eastAsia="黑体"/>
          <w:b w:val="0"/>
        </w:rPr>
        <w:t>竞赛规程</w:t>
      </w:r>
    </w:p>
    <w:p>
      <w:pPr>
        <w:pStyle w:val="8"/>
        <w:numPr>
          <w:ilvl w:val="0"/>
          <w:numId w:val="1"/>
        </w:numPr>
        <w:spacing w:before="240" w:after="60"/>
        <w:ind w:hanging="137"/>
        <w:jc w:val="left"/>
        <w:outlineLvl w:val="1"/>
        <w:rPr>
          <w:rFonts w:ascii="微软雅黑" w:hAnsi="微软雅黑" w:eastAsia="微软雅黑" w:cs="微软雅黑"/>
          <w:sz w:val="28"/>
          <w:szCs w:val="28"/>
        </w:rPr>
      </w:pPr>
      <w:r>
        <w:rPr>
          <w:rFonts w:hint="eastAsia" w:ascii="微软雅黑" w:hAnsi="微软雅黑" w:eastAsia="微软雅黑" w:cs="微软雅黑"/>
          <w:sz w:val="28"/>
          <w:szCs w:val="28"/>
        </w:rPr>
        <w:t>竞赛对象</w:t>
      </w:r>
    </w:p>
    <w:p>
      <w:pPr>
        <w:pStyle w:val="17"/>
        <w:widowControl/>
        <w:numPr>
          <w:ilvl w:val="0"/>
          <w:numId w:val="2"/>
        </w:numPr>
        <w:shd w:val="clear" w:color="auto" w:fill="FFFFFF" w:themeFill="background1"/>
        <w:spacing w:line="500" w:lineRule="exact"/>
        <w:ind w:left="0" w:firstLine="567" w:firstLineChars="0"/>
        <w:rPr>
          <w:rFonts w:asciiTheme="minorEastAsia" w:hAnsiTheme="minorEastAsia" w:eastAsiaTheme="minorEastAsia" w:cstheme="minorEastAsia"/>
          <w:kern w:val="2"/>
          <w:sz w:val="30"/>
          <w:szCs w:val="30"/>
          <w:lang w:eastAsia="zh-CN"/>
        </w:rPr>
      </w:pPr>
      <w:r>
        <w:rPr>
          <w:rFonts w:hint="eastAsia" w:asciiTheme="minorEastAsia" w:hAnsiTheme="minorEastAsia" w:eastAsiaTheme="minorEastAsia" w:cstheme="minorEastAsia"/>
          <w:kern w:val="2"/>
          <w:sz w:val="30"/>
          <w:szCs w:val="30"/>
          <w:lang w:eastAsia="zh-CN"/>
        </w:rPr>
        <w:t>面向2019年全日制本科、高职及中职院校建筑类相关专业的在籍学生；</w:t>
      </w:r>
    </w:p>
    <w:p>
      <w:pPr>
        <w:pStyle w:val="17"/>
        <w:widowControl/>
        <w:numPr>
          <w:ilvl w:val="0"/>
          <w:numId w:val="2"/>
        </w:numPr>
        <w:shd w:val="clear" w:color="auto" w:fill="FFFFFF" w:themeFill="background1"/>
        <w:spacing w:line="500" w:lineRule="exact"/>
        <w:ind w:left="0" w:firstLine="567" w:firstLineChars="0"/>
        <w:rPr>
          <w:rFonts w:asciiTheme="minorEastAsia" w:hAnsiTheme="minorEastAsia" w:eastAsiaTheme="minorEastAsia" w:cstheme="minorEastAsia"/>
          <w:kern w:val="2"/>
          <w:sz w:val="30"/>
          <w:szCs w:val="30"/>
          <w:lang w:eastAsia="zh-CN"/>
        </w:rPr>
      </w:pPr>
      <w:r>
        <w:rPr>
          <w:rFonts w:hint="eastAsia" w:asciiTheme="minorEastAsia" w:hAnsiTheme="minorEastAsia" w:eastAsiaTheme="minorEastAsia" w:cstheme="minorEastAsia"/>
          <w:kern w:val="2"/>
          <w:sz w:val="30"/>
          <w:szCs w:val="30"/>
          <w:lang w:eastAsia="zh-CN"/>
        </w:rPr>
        <w:t>院校以团队为单位参加比赛，每个团队由3名选手和1-3名指导教师（兼领队）组成，每个二级院系可派1支队伍参加总决赛, 每所院校限报2支参赛队。</w:t>
      </w:r>
    </w:p>
    <w:p>
      <w:pPr>
        <w:pStyle w:val="8"/>
        <w:numPr>
          <w:ilvl w:val="0"/>
          <w:numId w:val="1"/>
        </w:numPr>
        <w:spacing w:before="240" w:after="60"/>
        <w:ind w:hanging="137"/>
        <w:jc w:val="left"/>
        <w:outlineLvl w:val="1"/>
        <w:rPr>
          <w:rFonts w:ascii="微软雅黑" w:hAnsi="微软雅黑" w:eastAsia="微软雅黑" w:cs="微软雅黑"/>
          <w:sz w:val="28"/>
          <w:szCs w:val="28"/>
        </w:rPr>
      </w:pPr>
      <w:r>
        <w:rPr>
          <w:rFonts w:hint="eastAsia" w:ascii="微软雅黑" w:hAnsi="微软雅黑" w:eastAsia="微软雅黑" w:cs="微软雅黑"/>
          <w:sz w:val="28"/>
          <w:szCs w:val="28"/>
        </w:rPr>
        <w:t>竞赛日程</w:t>
      </w:r>
    </w:p>
    <w:p>
      <w:pPr>
        <w:widowControl/>
        <w:numPr>
          <w:ilvl w:val="0"/>
          <w:numId w:val="3"/>
        </w:numPr>
        <w:spacing w:line="360" w:lineRule="auto"/>
        <w:ind w:left="0" w:firstLine="567"/>
        <w:rPr>
          <w:rFonts w:asciiTheme="minorEastAsia" w:hAnsiTheme="minorEastAsia" w:eastAsiaTheme="minorEastAsia" w:cstheme="minorEastAsia"/>
          <w:kern w:val="2"/>
          <w:sz w:val="30"/>
          <w:szCs w:val="30"/>
          <w:lang w:eastAsia="zh-CN"/>
        </w:rPr>
      </w:pPr>
      <w:r>
        <w:rPr>
          <w:rFonts w:hint="eastAsia" w:asciiTheme="minorEastAsia" w:hAnsiTheme="minorEastAsia" w:eastAsiaTheme="minorEastAsia" w:cstheme="minorEastAsia"/>
          <w:kern w:val="2"/>
          <w:sz w:val="30"/>
          <w:szCs w:val="30"/>
          <w:lang w:eastAsia="zh-CN"/>
        </w:rPr>
        <w:t>院校报名：院校老师进入大赛官方网站</w:t>
      </w:r>
      <w:r>
        <w:fldChar w:fldCharType="begin"/>
      </w:r>
      <w:r>
        <w:instrText xml:space="preserve"> HYPERLINK "http://bisai.ccen.com.cn" \h </w:instrText>
      </w:r>
      <w:r>
        <w:fldChar w:fldCharType="separate"/>
      </w:r>
      <w:r>
        <w:rPr>
          <w:rFonts w:hint="eastAsia" w:asciiTheme="minorEastAsia" w:hAnsiTheme="minorEastAsia" w:eastAsiaTheme="minorEastAsia" w:cstheme="minorEastAsia"/>
          <w:kern w:val="2"/>
          <w:sz w:val="30"/>
          <w:szCs w:val="30"/>
          <w:lang w:eastAsia="zh-CN"/>
        </w:rPr>
        <w:t>http://bisai.ccen.com.cn</w:t>
      </w:r>
      <w:r>
        <w:rPr>
          <w:rFonts w:hint="eastAsia" w:asciiTheme="minorEastAsia" w:hAnsiTheme="minorEastAsia" w:eastAsiaTheme="minorEastAsia" w:cstheme="minorEastAsia"/>
          <w:kern w:val="2"/>
          <w:sz w:val="30"/>
          <w:szCs w:val="30"/>
          <w:lang w:eastAsia="zh-CN"/>
        </w:rPr>
        <w:fldChar w:fldCharType="end"/>
      </w:r>
      <w:r>
        <w:rPr>
          <w:rFonts w:hint="eastAsia" w:asciiTheme="minorEastAsia" w:hAnsiTheme="minorEastAsia" w:eastAsiaTheme="minorEastAsia" w:cstheme="minorEastAsia"/>
          <w:kern w:val="2"/>
          <w:sz w:val="30"/>
          <w:szCs w:val="30"/>
          <w:lang w:eastAsia="zh-CN"/>
        </w:rPr>
        <w:t xml:space="preserve"> ，注册并登陆后，点击在线报名，选择BIM全过程造价管理大赛后填写报名信息，报名时间为2019年4月15日-7月31日；</w:t>
      </w:r>
    </w:p>
    <w:p>
      <w:pPr>
        <w:widowControl/>
        <w:numPr>
          <w:ilvl w:val="0"/>
          <w:numId w:val="3"/>
        </w:numPr>
        <w:spacing w:line="360" w:lineRule="auto"/>
        <w:ind w:left="0" w:firstLine="567"/>
        <w:rPr>
          <w:rFonts w:asciiTheme="minorEastAsia" w:hAnsiTheme="minorEastAsia" w:eastAsiaTheme="minorEastAsia" w:cstheme="minorEastAsia"/>
          <w:kern w:val="2"/>
          <w:sz w:val="30"/>
          <w:szCs w:val="30"/>
          <w:lang w:eastAsia="zh-CN"/>
        </w:rPr>
      </w:pPr>
      <w:r>
        <w:rPr>
          <w:rFonts w:hint="eastAsia" w:asciiTheme="minorEastAsia" w:hAnsiTheme="minorEastAsia" w:eastAsiaTheme="minorEastAsia" w:cstheme="minorEastAsia"/>
          <w:sz w:val="30"/>
          <w:szCs w:val="30"/>
          <w:lang w:eastAsia="zh-CN"/>
        </w:rPr>
        <w:t>校级选拔赛：校级选拔赛拟定于9月举行，凡参加总决赛的院校均可参加校级选拔赛，选拔赛采用网络比赛模式</w:t>
      </w:r>
      <w:r>
        <w:rPr>
          <w:rFonts w:hint="eastAsia" w:asciiTheme="minorEastAsia" w:hAnsiTheme="minorEastAsia" w:eastAsiaTheme="minorEastAsia" w:cstheme="minorEastAsia"/>
          <w:sz w:val="30"/>
          <w:szCs w:val="30"/>
          <w:lang w:val="en-US" w:eastAsia="zh-CN"/>
        </w:rPr>
        <w:t>,具体见大赛官网通知。</w:t>
      </w:r>
    </w:p>
    <w:p>
      <w:pPr>
        <w:widowControl/>
        <w:numPr>
          <w:ilvl w:val="0"/>
          <w:numId w:val="3"/>
        </w:numPr>
        <w:spacing w:line="360" w:lineRule="auto"/>
        <w:ind w:left="0" w:firstLine="567"/>
        <w:rPr>
          <w:rFonts w:asciiTheme="minorEastAsia" w:hAnsiTheme="minorEastAsia" w:eastAsiaTheme="minorEastAsia" w:cstheme="minorEastAsia"/>
          <w:kern w:val="2"/>
          <w:sz w:val="30"/>
          <w:szCs w:val="30"/>
          <w:lang w:eastAsia="zh-CN"/>
        </w:rPr>
      </w:pPr>
      <w:r>
        <w:rPr>
          <w:rFonts w:hint="eastAsia" w:asciiTheme="minorEastAsia" w:hAnsiTheme="minorEastAsia" w:eastAsiaTheme="minorEastAsia" w:cstheme="minorEastAsia"/>
          <w:kern w:val="2"/>
          <w:sz w:val="30"/>
          <w:szCs w:val="30"/>
          <w:lang w:eastAsia="zh-CN"/>
        </w:rPr>
        <w:t>总决赛：现场总决赛定于2019年10月1</w:t>
      </w:r>
      <w:r>
        <w:rPr>
          <w:rFonts w:hint="eastAsia" w:asciiTheme="minorEastAsia" w:hAnsiTheme="minorEastAsia" w:eastAsiaTheme="minorEastAsia" w:cstheme="minorEastAsia"/>
          <w:kern w:val="2"/>
          <w:sz w:val="30"/>
          <w:szCs w:val="30"/>
          <w:lang w:val="en-US" w:eastAsia="zh-CN"/>
        </w:rPr>
        <w:t>8</w:t>
      </w:r>
      <w:r>
        <w:rPr>
          <w:rFonts w:hint="eastAsia" w:asciiTheme="minorEastAsia" w:hAnsiTheme="minorEastAsia" w:eastAsiaTheme="minorEastAsia" w:cstheme="minorEastAsia"/>
          <w:kern w:val="2"/>
          <w:sz w:val="30"/>
          <w:szCs w:val="30"/>
          <w:lang w:eastAsia="zh-CN"/>
        </w:rPr>
        <w:t>日-10月2</w:t>
      </w:r>
      <w:r>
        <w:rPr>
          <w:rFonts w:hint="eastAsia" w:asciiTheme="minorEastAsia" w:hAnsiTheme="minorEastAsia" w:eastAsiaTheme="minorEastAsia" w:cstheme="minorEastAsia"/>
          <w:kern w:val="2"/>
          <w:sz w:val="30"/>
          <w:szCs w:val="30"/>
          <w:lang w:val="en-US" w:eastAsia="zh-CN"/>
        </w:rPr>
        <w:t>0</w:t>
      </w:r>
      <w:r>
        <w:rPr>
          <w:rFonts w:hint="eastAsia" w:asciiTheme="minorEastAsia" w:hAnsiTheme="minorEastAsia" w:eastAsiaTheme="minorEastAsia" w:cstheme="minorEastAsia"/>
          <w:kern w:val="2"/>
          <w:sz w:val="30"/>
          <w:szCs w:val="30"/>
          <w:lang w:eastAsia="zh-CN"/>
        </w:rPr>
        <w:t>日在长沙职业技术学院（高职组）和南京工程学院（本科组）举行，决赛分为报到日、比赛日和颁奖日，共计3天。</w:t>
      </w:r>
    </w:p>
    <w:p>
      <w:pPr>
        <w:pStyle w:val="8"/>
        <w:numPr>
          <w:ilvl w:val="0"/>
          <w:numId w:val="1"/>
        </w:numPr>
        <w:spacing w:before="240" w:after="60"/>
        <w:ind w:hanging="137"/>
        <w:jc w:val="left"/>
        <w:outlineLvl w:val="1"/>
        <w:rPr>
          <w:rFonts w:ascii="微软雅黑" w:hAnsi="微软雅黑" w:eastAsia="微软雅黑" w:cs="微软雅黑"/>
          <w:sz w:val="28"/>
          <w:szCs w:val="28"/>
        </w:rPr>
      </w:pPr>
      <w:r>
        <w:rPr>
          <w:rFonts w:hint="eastAsia" w:ascii="微软雅黑" w:hAnsi="微软雅黑" w:eastAsia="微软雅黑" w:cs="微软雅黑"/>
          <w:sz w:val="28"/>
          <w:szCs w:val="28"/>
        </w:rPr>
        <w:t>竞赛内容与时间</w:t>
      </w:r>
    </w:p>
    <w:p>
      <w:p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竞赛内容与时间</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本届大赛主要围绕全过程造价“概”“预”“结”“审”四个环节并结合各阶段BIM应用进行专业技能考核。具体考核内容如下：</w:t>
      </w:r>
    </w:p>
    <w:p>
      <w:pPr>
        <w:numPr>
          <w:ilvl w:val="0"/>
          <w:numId w:val="4"/>
        </w:numPr>
        <w:spacing w:line="360" w:lineRule="auto"/>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概算阶段</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本阶段参赛选手定位为业主方。根据给定的背景资料，完成该项目的投资估算与招标策划。</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其中投资估算为客观题，通过给定的数据资料计算出该项目的投资估算价格。</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招标策划为软件操作题，根据给定的招标工程项目信息资料，按照国家通用的工程招投标法律法规完成本项目招标方式的策划以及招标计划的编制。</w:t>
      </w:r>
    </w:p>
    <w:p>
      <w:pPr>
        <w:numPr>
          <w:ilvl w:val="0"/>
          <w:numId w:val="4"/>
        </w:numPr>
        <w:spacing w:line="360" w:lineRule="auto"/>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预算阶段</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本阶段参赛选手定位为招标人。根据给定的资料，完成该项目的建筑与装饰计量、水电安装计量、工程量清单计价以及招标文件编制四个环节。</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1）建筑与装饰计量</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根据给定的CAD图纸结合给定的“案例工程”，应用广联达BIM土建计量平台GTJ2018（推荐采用CAD导图结合手工绘制进行建模），依据《房屋建筑与装饰工程工程量计算规范》(GB50854-2013)和北京市建设工程预算定额(2012)、16G101-1、2、3平法规则进行模型建立，并套取清单和定额，最终完成指定范围工程量的计算。</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2）水电安装计量</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以CAD识别的方式，按照《通用安装工程工程量计算规范》(GB50856-2013)，通过广联达BIM安装计量GQI2019完成指定范围给排水和电气专业案例工程量的计算。</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3）工程量清单计价</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根据给定的计价文件和试题要求，通过广联达GCCP5.0软件完成土建工程和安装工程的工程量清单计价文件的编制。</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4）招标文件编制</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根据给定的项目背景资料，通过广联达电子招标文件编制工具完成一份项目招标文件的编制，其中需导入上一工作编制完成的工程量清单文件（xml格式）。</w:t>
      </w:r>
    </w:p>
    <w:p>
      <w:pPr>
        <w:numPr>
          <w:ilvl w:val="0"/>
          <w:numId w:val="4"/>
        </w:numPr>
        <w:spacing w:line="360" w:lineRule="auto"/>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施工阶段</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本阶段参赛选手定位为施工方。依据试题要求，将给定的土建模型、场地模型、计价文件和进度计划文件导入到BIM5D中实现数据集成，完成案例模型与进度、成本等数据的关联，根据给定的签证、洽商、变更等文件完成相关工作，进而进行三算对比，最终完成各类数据的提取。</w:t>
      </w:r>
    </w:p>
    <w:p>
      <w:pPr>
        <w:numPr>
          <w:ilvl w:val="0"/>
          <w:numId w:val="4"/>
        </w:numPr>
        <w:spacing w:line="360" w:lineRule="auto"/>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结算、审核阶段</w:t>
      </w:r>
    </w:p>
    <w:p>
      <w:pPr>
        <w:spacing w:line="360" w:lineRule="auto"/>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本阶段参赛选手定位为咨询单位。由于施工过程中发生的变更，导致工程量发生变化以及合同价款调整，请根据试题要求，运用GTJ2018计算出相应变更工程量，并将由工程量等引起的价款调整通过广联达GCCP5.0软件结算模块完成计算，并依据合同文件要求，对指定材料进行材料价格调差，生成结算文件。同时为了保障成本控制需要将结算文件与合同文件进行对比，对结算文件中报价不合理的地方作出调整，并输出审核报告。</w:t>
      </w:r>
    </w:p>
    <w:p>
      <w:pPr>
        <w:spacing w:line="360" w:lineRule="auto"/>
        <w:ind w:firstLine="600" w:firstLineChars="200"/>
        <w:rPr>
          <w:rFonts w:hint="eastAsia" w:asciiTheme="minorEastAsia" w:hAnsiTheme="minorEastAsia" w:eastAsiaTheme="minorEastAsia" w:cstheme="minorEastAsia"/>
          <w:sz w:val="30"/>
          <w:szCs w:val="30"/>
          <w:lang w:eastAsia="zh-CN"/>
        </w:rPr>
      </w:pPr>
    </w:p>
    <w:p>
      <w:pPr>
        <w:spacing w:line="360" w:lineRule="auto"/>
        <w:ind w:firstLine="600" w:firstLineChars="200"/>
        <w:rPr>
          <w:rFonts w:hint="eastAsia" w:asciiTheme="minorEastAsia" w:hAnsiTheme="minorEastAsia" w:eastAsiaTheme="minorEastAsia" w:cstheme="minorEastAsia"/>
          <w:sz w:val="30"/>
          <w:szCs w:val="30"/>
          <w:lang w:eastAsia="zh-CN"/>
        </w:rPr>
      </w:pPr>
    </w:p>
    <w:p>
      <w:pPr>
        <w:spacing w:line="360" w:lineRule="auto"/>
        <w:ind w:firstLine="600" w:firstLineChars="200"/>
        <w:rPr>
          <w:rFonts w:hint="eastAsia" w:asciiTheme="minorEastAsia" w:hAnsiTheme="minorEastAsia" w:eastAsiaTheme="minorEastAsia" w:cstheme="minorEastAsia"/>
          <w:sz w:val="30"/>
          <w:szCs w:val="30"/>
          <w:lang w:eastAsia="zh-CN"/>
        </w:rPr>
      </w:pPr>
    </w:p>
    <w:p>
      <w:pPr>
        <w:spacing w:line="360" w:lineRule="auto"/>
        <w:ind w:firstLine="600" w:firstLineChars="200"/>
        <w:rPr>
          <w:rFonts w:hint="eastAsia" w:asciiTheme="minorEastAsia" w:hAnsiTheme="minorEastAsia" w:eastAsiaTheme="minorEastAsia" w:cstheme="minorEastAsia"/>
          <w:sz w:val="30"/>
          <w:szCs w:val="30"/>
          <w:lang w:eastAsia="zh-CN"/>
        </w:rPr>
      </w:pPr>
    </w:p>
    <w:p>
      <w:pPr>
        <w:pStyle w:val="8"/>
        <w:numPr>
          <w:ilvl w:val="0"/>
          <w:numId w:val="1"/>
        </w:numPr>
        <w:spacing w:before="240" w:after="60"/>
        <w:ind w:hanging="137"/>
        <w:jc w:val="left"/>
        <w:outlineLvl w:val="1"/>
        <w:rPr>
          <w:rFonts w:ascii="微软雅黑" w:hAnsi="微软雅黑" w:eastAsia="微软雅黑" w:cs="微软雅黑"/>
          <w:sz w:val="28"/>
          <w:szCs w:val="28"/>
        </w:rPr>
      </w:pPr>
      <w:r>
        <w:rPr>
          <w:rFonts w:hint="eastAsia" w:ascii="微软雅黑" w:hAnsi="微软雅黑" w:eastAsia="微软雅黑" w:cs="微软雅黑"/>
          <w:sz w:val="28"/>
          <w:szCs w:val="28"/>
        </w:rPr>
        <w:t>竞赛时间</w:t>
      </w:r>
    </w:p>
    <w:p>
      <w:pPr>
        <w:ind w:left="567"/>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本赛项计划比赛时间为2019年10月</w:t>
      </w:r>
      <w:r>
        <w:rPr>
          <w:rFonts w:hint="eastAsia" w:asciiTheme="minorEastAsia" w:hAnsiTheme="minorEastAsia" w:eastAsiaTheme="minorEastAsia" w:cstheme="minorEastAsia"/>
          <w:sz w:val="30"/>
          <w:szCs w:val="30"/>
          <w:lang w:val="en-US" w:eastAsia="zh-CN"/>
        </w:rPr>
        <w:t>19</w:t>
      </w:r>
      <w:r>
        <w:rPr>
          <w:rFonts w:hint="eastAsia" w:asciiTheme="minorEastAsia" w:hAnsiTheme="minorEastAsia" w:eastAsiaTheme="minorEastAsia" w:cstheme="minorEastAsia"/>
          <w:sz w:val="30"/>
          <w:szCs w:val="30"/>
          <w:lang w:eastAsia="zh-CN"/>
        </w:rPr>
        <w:t>日，具体安排如下：</w:t>
      </w:r>
    </w:p>
    <w:p>
      <w:pPr>
        <w:ind w:left="567"/>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highlight w:val="yellow"/>
        </w:rPr>
        <w:fldChar w:fldCharType="begin"/>
      </w:r>
      <w:r>
        <w:rPr>
          <w:rFonts w:hint="eastAsia" w:asciiTheme="minorEastAsia" w:hAnsiTheme="minorEastAsia" w:eastAsiaTheme="minorEastAsia" w:cstheme="minorEastAsia"/>
          <w:sz w:val="30"/>
          <w:szCs w:val="30"/>
          <w:highlight w:val="yellow"/>
          <w:lang w:eastAsia="zh-CN"/>
        </w:rPr>
        <w:instrText xml:space="preserve"> LINK </w:instrText>
      </w:r>
      <w:r>
        <w:rPr>
          <w:rFonts w:asciiTheme="minorEastAsia" w:hAnsiTheme="minorEastAsia" w:eastAsiaTheme="minorEastAsia" w:cstheme="minorEastAsia"/>
          <w:sz w:val="30"/>
          <w:szCs w:val="30"/>
          <w:highlight w:val="yellow"/>
          <w:lang w:eastAsia="zh-CN"/>
        </w:rPr>
        <w:instrText xml:space="preserve">Excel.Sheet.12 "F:\\3、市场活动\\06-全国大赛\\2019年大赛\\新建 Microsoft Excel 工作表.xlsx" Sheet1!R1C2:R10C7 </w:instrText>
      </w:r>
      <w:r>
        <w:rPr>
          <w:rFonts w:hint="eastAsia" w:asciiTheme="minorEastAsia" w:hAnsiTheme="minorEastAsia" w:eastAsiaTheme="minorEastAsia" w:cstheme="minorEastAsia"/>
          <w:sz w:val="30"/>
          <w:szCs w:val="30"/>
          <w:highlight w:val="yellow"/>
          <w:lang w:eastAsia="zh-CN"/>
        </w:rPr>
        <w:instrText xml:space="preserve">\a \f 4 \h  \* MERGEFORMAT </w:instrText>
      </w:r>
      <w:r>
        <w:rPr>
          <w:rFonts w:hint="eastAsia" w:asciiTheme="minorEastAsia" w:hAnsiTheme="minorEastAsia" w:eastAsiaTheme="minorEastAsia" w:cstheme="minorEastAsia"/>
          <w:sz w:val="30"/>
          <w:szCs w:val="30"/>
          <w:highlight w:val="yellow"/>
        </w:rPr>
        <w:fldChar w:fldCharType="separate"/>
      </w:r>
      <w:bookmarkStart w:id="0" w:name="RANGE!B1"/>
    </w:p>
    <w:bookmarkEnd w:id="0"/>
    <w:tbl>
      <w:tblPr>
        <w:tblStyle w:val="9"/>
        <w:tblW w:w="9351" w:type="dxa"/>
        <w:tblInd w:w="0" w:type="dxa"/>
        <w:tblLayout w:type="fixed"/>
        <w:tblCellMar>
          <w:top w:w="0" w:type="dxa"/>
          <w:left w:w="108" w:type="dxa"/>
          <w:bottom w:w="0" w:type="dxa"/>
          <w:right w:w="108" w:type="dxa"/>
        </w:tblCellMar>
      </w:tblPr>
      <w:tblGrid>
        <w:gridCol w:w="1240"/>
        <w:gridCol w:w="1480"/>
        <w:gridCol w:w="2662"/>
        <w:gridCol w:w="1134"/>
        <w:gridCol w:w="1276"/>
        <w:gridCol w:w="1559"/>
      </w:tblGrid>
      <w:tr>
        <w:tblPrEx>
          <w:tblLayout w:type="fixed"/>
          <w:tblCellMar>
            <w:top w:w="0" w:type="dxa"/>
            <w:left w:w="108" w:type="dxa"/>
            <w:bottom w:w="0" w:type="dxa"/>
            <w:right w:w="108" w:type="dxa"/>
          </w:tblCellMar>
        </w:tblPrEx>
        <w:trPr>
          <w:trHeight w:val="465" w:hRule="atLeast"/>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sz w:val="24"/>
                <w:szCs w:val="24"/>
              </w:rPr>
            </w:pPr>
            <w:r>
              <w:rPr>
                <w:rFonts w:hint="eastAsia" w:ascii="仿宋" w:hAnsi="仿宋" w:eastAsia="仿宋"/>
                <w:b/>
                <w:bCs/>
                <w:color w:val="000000"/>
                <w:sz w:val="24"/>
                <w:szCs w:val="24"/>
              </w:rPr>
              <w:t>专项编号</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sz w:val="24"/>
                <w:szCs w:val="24"/>
              </w:rPr>
            </w:pPr>
            <w:r>
              <w:rPr>
                <w:rFonts w:hint="eastAsia" w:ascii="仿宋" w:hAnsi="仿宋" w:eastAsia="仿宋"/>
                <w:b/>
                <w:bCs/>
                <w:color w:val="000000"/>
                <w:sz w:val="24"/>
                <w:szCs w:val="24"/>
              </w:rPr>
              <w:t>全过程造价</w:t>
            </w:r>
          </w:p>
        </w:tc>
        <w:tc>
          <w:tcPr>
            <w:tcW w:w="26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sz w:val="24"/>
                <w:szCs w:val="24"/>
              </w:rPr>
            </w:pPr>
            <w:r>
              <w:rPr>
                <w:rFonts w:hint="eastAsia" w:ascii="仿宋" w:hAnsi="仿宋" w:eastAsia="仿宋"/>
                <w:b/>
                <w:bCs/>
                <w:color w:val="000000"/>
                <w:sz w:val="24"/>
                <w:szCs w:val="24"/>
              </w:rPr>
              <w:t>子项目</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sz w:val="24"/>
                <w:szCs w:val="24"/>
              </w:rPr>
            </w:pPr>
            <w:r>
              <w:rPr>
                <w:rFonts w:hint="eastAsia" w:ascii="仿宋" w:hAnsi="仿宋" w:eastAsia="仿宋"/>
                <w:b/>
                <w:bCs/>
                <w:color w:val="000000"/>
                <w:sz w:val="24"/>
                <w:szCs w:val="24"/>
              </w:rPr>
              <w:t>时长</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sz w:val="24"/>
                <w:szCs w:val="24"/>
              </w:rPr>
            </w:pPr>
            <w:r>
              <w:rPr>
                <w:rFonts w:hint="eastAsia" w:ascii="仿宋" w:hAnsi="仿宋" w:eastAsia="仿宋"/>
                <w:b/>
                <w:bCs/>
                <w:color w:val="000000"/>
                <w:sz w:val="24"/>
                <w:szCs w:val="24"/>
              </w:rPr>
              <w:t>分值比重</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sz w:val="24"/>
                <w:szCs w:val="24"/>
              </w:rPr>
            </w:pPr>
            <w:r>
              <w:rPr>
                <w:rFonts w:hint="eastAsia" w:ascii="仿宋" w:hAnsi="仿宋" w:eastAsia="仿宋"/>
                <w:b/>
                <w:bCs/>
                <w:color w:val="000000"/>
                <w:sz w:val="24"/>
                <w:szCs w:val="24"/>
              </w:rPr>
              <w:t>具体时间</w:t>
            </w:r>
          </w:p>
        </w:tc>
      </w:tr>
      <w:tr>
        <w:tblPrEx>
          <w:tblLayout w:type="fixed"/>
          <w:tblCellMar>
            <w:top w:w="0" w:type="dxa"/>
            <w:left w:w="108" w:type="dxa"/>
            <w:bottom w:w="0" w:type="dxa"/>
            <w:right w:w="108" w:type="dxa"/>
          </w:tblCellMar>
        </w:tblPrEx>
        <w:trPr>
          <w:trHeight w:val="46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概算阶段</w:t>
            </w:r>
          </w:p>
        </w:tc>
        <w:tc>
          <w:tcPr>
            <w:tcW w:w="2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投资</w:t>
            </w:r>
            <w:r>
              <w:rPr>
                <w:rFonts w:ascii="仿宋" w:hAnsi="仿宋" w:eastAsia="仿宋"/>
                <w:color w:val="000000"/>
                <w:sz w:val="24"/>
                <w:szCs w:val="24"/>
                <w:lang w:eastAsia="zh-CN"/>
              </w:rPr>
              <w:t>估算与招标策划</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240分钟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10%</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8:30-12:30</w:t>
            </w:r>
          </w:p>
        </w:tc>
      </w:tr>
      <w:tr>
        <w:tblPrEx>
          <w:tblLayout w:type="fixed"/>
          <w:tblCellMar>
            <w:top w:w="0" w:type="dxa"/>
            <w:left w:w="108" w:type="dxa"/>
            <w:bottom w:w="0" w:type="dxa"/>
            <w:right w:w="108" w:type="dxa"/>
          </w:tblCellMar>
        </w:tblPrEx>
        <w:trPr>
          <w:trHeight w:val="46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2</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预算阶段</w:t>
            </w:r>
          </w:p>
        </w:tc>
        <w:tc>
          <w:tcPr>
            <w:tcW w:w="2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建筑与装饰工程量计算</w:t>
            </w:r>
          </w:p>
        </w:tc>
        <w:tc>
          <w:tcPr>
            <w:tcW w:w="113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lang w:eastAsia="zh-CN"/>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20%</w:t>
            </w:r>
          </w:p>
        </w:tc>
        <w:tc>
          <w:tcPr>
            <w:tcW w:w="1559"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olor w:val="000000"/>
                <w:sz w:val="24"/>
                <w:szCs w:val="24"/>
              </w:rPr>
            </w:pPr>
          </w:p>
        </w:tc>
      </w:tr>
      <w:tr>
        <w:tblPrEx>
          <w:tblLayout w:type="fixed"/>
          <w:tblCellMar>
            <w:top w:w="0" w:type="dxa"/>
            <w:left w:w="108" w:type="dxa"/>
            <w:bottom w:w="0" w:type="dxa"/>
            <w:right w:w="108" w:type="dxa"/>
          </w:tblCellMar>
        </w:tblPrEx>
        <w:trPr>
          <w:trHeight w:val="46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3</w:t>
            </w:r>
          </w:p>
        </w:tc>
        <w:tc>
          <w:tcPr>
            <w:tcW w:w="1480"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2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水电安装工程量计算</w:t>
            </w:r>
          </w:p>
        </w:tc>
        <w:tc>
          <w:tcPr>
            <w:tcW w:w="113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20%</w:t>
            </w:r>
          </w:p>
        </w:tc>
        <w:tc>
          <w:tcPr>
            <w:tcW w:w="1559"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olor w:val="000000"/>
                <w:sz w:val="24"/>
                <w:szCs w:val="24"/>
              </w:rPr>
            </w:pPr>
          </w:p>
        </w:tc>
      </w:tr>
      <w:tr>
        <w:tblPrEx>
          <w:tblLayout w:type="fixed"/>
          <w:tblCellMar>
            <w:top w:w="0" w:type="dxa"/>
            <w:left w:w="108" w:type="dxa"/>
            <w:bottom w:w="0" w:type="dxa"/>
            <w:right w:w="108" w:type="dxa"/>
          </w:tblCellMar>
        </w:tblPrEx>
        <w:trPr>
          <w:trHeight w:val="46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4</w:t>
            </w:r>
          </w:p>
        </w:tc>
        <w:tc>
          <w:tcPr>
            <w:tcW w:w="1480"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2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建筑工程清单计价</w:t>
            </w:r>
          </w:p>
        </w:tc>
        <w:tc>
          <w:tcPr>
            <w:tcW w:w="113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10%</w:t>
            </w:r>
          </w:p>
        </w:tc>
        <w:tc>
          <w:tcPr>
            <w:tcW w:w="1559"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olor w:val="000000"/>
                <w:sz w:val="24"/>
                <w:szCs w:val="24"/>
              </w:rPr>
            </w:pPr>
          </w:p>
        </w:tc>
      </w:tr>
      <w:tr>
        <w:tblPrEx>
          <w:tblLayout w:type="fixed"/>
          <w:tblCellMar>
            <w:top w:w="0" w:type="dxa"/>
            <w:left w:w="108" w:type="dxa"/>
            <w:bottom w:w="0" w:type="dxa"/>
            <w:right w:w="108" w:type="dxa"/>
          </w:tblCellMar>
        </w:tblPrEx>
        <w:trPr>
          <w:trHeight w:val="46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5</w:t>
            </w:r>
          </w:p>
        </w:tc>
        <w:tc>
          <w:tcPr>
            <w:tcW w:w="1480"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2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招标文件编制</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180分钟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10%</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14:00-17:00</w:t>
            </w:r>
          </w:p>
        </w:tc>
      </w:tr>
      <w:tr>
        <w:tblPrEx>
          <w:tblLayout w:type="fixed"/>
          <w:tblCellMar>
            <w:top w:w="0" w:type="dxa"/>
            <w:left w:w="108" w:type="dxa"/>
            <w:bottom w:w="0" w:type="dxa"/>
            <w:right w:w="108" w:type="dxa"/>
          </w:tblCellMar>
        </w:tblPrEx>
        <w:trPr>
          <w:trHeight w:val="46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6</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施工阶段</w:t>
            </w:r>
          </w:p>
        </w:tc>
        <w:tc>
          <w:tcPr>
            <w:tcW w:w="2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BIM5D成本管理</w:t>
            </w:r>
          </w:p>
        </w:tc>
        <w:tc>
          <w:tcPr>
            <w:tcW w:w="113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20%</w:t>
            </w:r>
          </w:p>
        </w:tc>
        <w:tc>
          <w:tcPr>
            <w:tcW w:w="1559"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olor w:val="000000"/>
                <w:sz w:val="24"/>
                <w:szCs w:val="24"/>
              </w:rPr>
            </w:pPr>
          </w:p>
        </w:tc>
      </w:tr>
      <w:tr>
        <w:tblPrEx>
          <w:tblLayout w:type="fixed"/>
          <w:tblCellMar>
            <w:top w:w="0" w:type="dxa"/>
            <w:left w:w="108" w:type="dxa"/>
            <w:bottom w:w="0" w:type="dxa"/>
            <w:right w:w="108" w:type="dxa"/>
          </w:tblCellMar>
        </w:tblPrEx>
        <w:trPr>
          <w:trHeight w:val="46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7</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结算阶段</w:t>
            </w:r>
          </w:p>
        </w:tc>
        <w:tc>
          <w:tcPr>
            <w:tcW w:w="26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项目结算与审核</w:t>
            </w:r>
          </w:p>
        </w:tc>
        <w:tc>
          <w:tcPr>
            <w:tcW w:w="113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10%</w:t>
            </w:r>
          </w:p>
        </w:tc>
        <w:tc>
          <w:tcPr>
            <w:tcW w:w="1559"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olor w:val="000000"/>
                <w:sz w:val="24"/>
                <w:szCs w:val="24"/>
              </w:rPr>
            </w:pPr>
          </w:p>
        </w:tc>
      </w:tr>
      <w:tr>
        <w:tblPrEx>
          <w:tblLayout w:type="fixed"/>
          <w:tblCellMar>
            <w:top w:w="0" w:type="dxa"/>
            <w:left w:w="108" w:type="dxa"/>
            <w:bottom w:w="0" w:type="dxa"/>
            <w:right w:w="108" w:type="dxa"/>
          </w:tblCellMar>
        </w:tblPrEx>
        <w:trPr>
          <w:trHeight w:val="46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8</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审核阶段</w:t>
            </w:r>
          </w:p>
        </w:tc>
        <w:tc>
          <w:tcPr>
            <w:tcW w:w="2662"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olor w:val="000000"/>
                <w:sz w:val="24"/>
                <w:szCs w:val="24"/>
              </w:rPr>
            </w:pPr>
          </w:p>
        </w:tc>
      </w:tr>
      <w:tr>
        <w:tblPrEx>
          <w:tblLayout w:type="fixed"/>
          <w:tblCellMar>
            <w:top w:w="0" w:type="dxa"/>
            <w:left w:w="108" w:type="dxa"/>
            <w:bottom w:w="0" w:type="dxa"/>
            <w:right w:w="108" w:type="dxa"/>
          </w:tblCellMar>
        </w:tblPrEx>
        <w:trPr>
          <w:trHeight w:val="465" w:hRule="atLeast"/>
        </w:trPr>
        <w:tc>
          <w:tcPr>
            <w:tcW w:w="5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小计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420分钟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100%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一天</w:t>
            </w:r>
          </w:p>
        </w:tc>
      </w:tr>
    </w:tbl>
    <w:p>
      <w:pPr>
        <w:rPr>
          <w:rFonts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yellow"/>
          <w14:textFill>
            <w14:solidFill>
              <w14:schemeClr w14:val="tx1"/>
            </w14:solidFill>
          </w14:textFill>
        </w:rPr>
        <w:fldChar w:fldCharType="end"/>
      </w:r>
    </w:p>
    <w:p>
      <w:pPr>
        <w:pStyle w:val="8"/>
        <w:numPr>
          <w:ilvl w:val="0"/>
          <w:numId w:val="1"/>
        </w:numPr>
        <w:spacing w:before="240" w:after="60"/>
        <w:ind w:hanging="137"/>
        <w:jc w:val="left"/>
        <w:outlineLvl w:val="1"/>
        <w:rPr>
          <w:rFonts w:ascii="微软雅黑" w:hAnsi="微软雅黑" w:eastAsia="微软雅黑" w:cs="微软雅黑"/>
          <w:sz w:val="28"/>
          <w:szCs w:val="28"/>
        </w:rPr>
      </w:pPr>
      <w:r>
        <w:rPr>
          <w:rFonts w:hint="eastAsia" w:ascii="微软雅黑" w:hAnsi="微软雅黑" w:eastAsia="微软雅黑" w:cs="微软雅黑"/>
          <w:sz w:val="28"/>
          <w:szCs w:val="28"/>
        </w:rPr>
        <w:t>规范选择</w:t>
      </w:r>
    </w:p>
    <w:p>
      <w:pPr>
        <w:widowControl/>
        <w:numPr>
          <w:ilvl w:val="0"/>
          <w:numId w:val="5"/>
        </w:numPr>
        <w:spacing w:line="360" w:lineRule="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BIM土建计量GTJ2018</w:t>
      </w:r>
    </w:p>
    <w:p>
      <w:pPr>
        <w:spacing w:line="360" w:lineRule="auto"/>
        <w:ind w:firstLine="56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计算规则：16G平法规则（北京）</w:t>
      </w:r>
    </w:p>
    <w:p>
      <w:pPr>
        <w:spacing w:line="360" w:lineRule="auto"/>
        <w:ind w:firstLine="56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清单计算规则：房屋建筑与装饰工程计量规范计算规则（2013）</w:t>
      </w:r>
    </w:p>
    <w:p>
      <w:pPr>
        <w:spacing w:line="360" w:lineRule="auto"/>
        <w:ind w:firstLine="56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定额计算规则：建筑工程预算定额计算规则（2013）</w:t>
      </w:r>
    </w:p>
    <w:p>
      <w:pPr>
        <w:spacing w:line="360" w:lineRule="auto"/>
        <w:ind w:firstLine="56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清单库：工程量清单项目计量规范（2013-北京）</w:t>
      </w:r>
    </w:p>
    <w:p>
      <w:pPr>
        <w:spacing w:line="360" w:lineRule="auto"/>
        <w:ind w:firstLine="56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定额库：北京市建设工程预算定额(2012)</w:t>
      </w:r>
    </w:p>
    <w:p>
      <w:pPr>
        <w:widowControl/>
        <w:numPr>
          <w:ilvl w:val="0"/>
          <w:numId w:val="5"/>
        </w:numPr>
        <w:spacing w:line="360" w:lineRule="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BIM安装计量GQI2019</w:t>
      </w:r>
    </w:p>
    <w:p>
      <w:pPr>
        <w:spacing w:line="360" w:lineRule="auto"/>
        <w:ind w:firstLine="566"/>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清单计算规则：通用安装工程工程量计算规范计算规则（全统-2013）</w:t>
      </w:r>
    </w:p>
    <w:p>
      <w:pPr>
        <w:spacing w:line="360" w:lineRule="auto"/>
        <w:ind w:firstLine="566"/>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清单库：2019年高校大赛专用清单库</w:t>
      </w:r>
    </w:p>
    <w:p>
      <w:pPr>
        <w:spacing w:line="360" w:lineRule="auto"/>
        <w:ind w:firstLine="566"/>
        <w:rPr>
          <w:rFonts w:hint="eastAsia" w:asciiTheme="minorEastAsia" w:hAnsiTheme="minorEastAsia" w:eastAsiaTheme="minorEastAsia" w:cstheme="minorEastAsia"/>
          <w:sz w:val="30"/>
          <w:szCs w:val="30"/>
          <w:lang w:eastAsia="zh-CN"/>
        </w:rPr>
      </w:pPr>
    </w:p>
    <w:p>
      <w:pPr>
        <w:spacing w:line="360" w:lineRule="auto"/>
        <w:ind w:firstLine="566"/>
        <w:rPr>
          <w:rFonts w:hint="eastAsia" w:asciiTheme="minorEastAsia" w:hAnsiTheme="minorEastAsia" w:eastAsiaTheme="minorEastAsia" w:cstheme="minorEastAsia"/>
          <w:sz w:val="30"/>
          <w:szCs w:val="30"/>
          <w:lang w:eastAsia="zh-CN"/>
        </w:rPr>
      </w:pPr>
    </w:p>
    <w:p>
      <w:pPr>
        <w:pStyle w:val="8"/>
        <w:numPr>
          <w:ilvl w:val="0"/>
          <w:numId w:val="1"/>
        </w:numPr>
        <w:spacing w:before="240" w:after="60"/>
        <w:ind w:hanging="137"/>
        <w:jc w:val="left"/>
        <w:outlineLvl w:val="1"/>
        <w:rPr>
          <w:rFonts w:ascii="微软雅黑" w:hAnsi="微软雅黑" w:eastAsia="微软雅黑" w:cs="微软雅黑"/>
          <w:sz w:val="28"/>
          <w:szCs w:val="28"/>
        </w:rPr>
      </w:pPr>
      <w:r>
        <w:rPr>
          <w:rFonts w:hint="eastAsia" w:ascii="微软雅黑" w:hAnsi="微软雅黑" w:eastAsia="微软雅黑" w:cs="微软雅黑"/>
          <w:sz w:val="28"/>
          <w:szCs w:val="28"/>
        </w:rPr>
        <w:t>竞赛软件及硬件</w:t>
      </w:r>
    </w:p>
    <w:p>
      <w:pPr>
        <w:widowControl/>
        <w:numPr>
          <w:ilvl w:val="0"/>
          <w:numId w:val="6"/>
        </w:numPr>
        <w:ind w:firstLine="14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竞赛软件</w:t>
      </w:r>
    </w:p>
    <w:p>
      <w:pPr>
        <w:ind w:left="420" w:firstLine="14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本赛项全部采用广联达软件，具体软件使用情况如下：</w:t>
      </w:r>
    </w:p>
    <w:p>
      <w:pPr>
        <w:ind w:left="420" w:firstLine="140"/>
        <w:rPr>
          <w:rFonts w:hint="eastAsia" w:asciiTheme="minorEastAsia" w:hAnsiTheme="minorEastAsia" w:eastAsiaTheme="minorEastAsia" w:cstheme="minorEastAsia"/>
          <w:sz w:val="30"/>
          <w:szCs w:val="30"/>
          <w:lang w:eastAsia="zh-CN"/>
        </w:rPr>
      </w:pPr>
    </w:p>
    <w:tbl>
      <w:tblPr>
        <w:tblStyle w:val="9"/>
        <w:tblW w:w="9950" w:type="dxa"/>
        <w:jc w:val="center"/>
        <w:tblInd w:w="543" w:type="dxa"/>
        <w:tblLayout w:type="fixed"/>
        <w:tblCellMar>
          <w:top w:w="0" w:type="dxa"/>
          <w:left w:w="108" w:type="dxa"/>
          <w:bottom w:w="0" w:type="dxa"/>
          <w:right w:w="108" w:type="dxa"/>
        </w:tblCellMar>
      </w:tblPr>
      <w:tblGrid>
        <w:gridCol w:w="810"/>
        <w:gridCol w:w="1480"/>
        <w:gridCol w:w="2800"/>
        <w:gridCol w:w="4860"/>
      </w:tblGrid>
      <w:tr>
        <w:tblPrEx>
          <w:tblLayout w:type="fixed"/>
          <w:tblCellMar>
            <w:top w:w="0" w:type="dxa"/>
            <w:left w:w="108" w:type="dxa"/>
            <w:bottom w:w="0" w:type="dxa"/>
            <w:right w:w="108" w:type="dxa"/>
          </w:tblCellMar>
        </w:tblPrEx>
        <w:trPr>
          <w:trHeight w:val="465"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专项编号</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全过程造价</w:t>
            </w:r>
          </w:p>
        </w:tc>
        <w:tc>
          <w:tcPr>
            <w:tcW w:w="28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子项目</w:t>
            </w:r>
          </w:p>
        </w:tc>
        <w:tc>
          <w:tcPr>
            <w:tcW w:w="4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竞赛软件</w:t>
            </w:r>
          </w:p>
        </w:tc>
      </w:tr>
      <w:tr>
        <w:tblPrEx>
          <w:tblLayout w:type="fixed"/>
          <w:tblCellMar>
            <w:top w:w="0" w:type="dxa"/>
            <w:left w:w="108" w:type="dxa"/>
            <w:bottom w:w="0" w:type="dxa"/>
            <w:right w:w="108" w:type="dxa"/>
          </w:tblCellMar>
        </w:tblPrEx>
        <w:trPr>
          <w:trHeight w:val="465"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1</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概算阶段</w:t>
            </w: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投资估算与招标策划</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广联达工程招投标沙盘执行评测系统V3.0</w:t>
            </w:r>
          </w:p>
        </w:tc>
      </w:tr>
      <w:tr>
        <w:tblPrEx>
          <w:tblLayout w:type="fixed"/>
          <w:tblCellMar>
            <w:top w:w="0" w:type="dxa"/>
            <w:left w:w="108" w:type="dxa"/>
            <w:bottom w:w="0" w:type="dxa"/>
            <w:right w:w="108" w:type="dxa"/>
          </w:tblCellMar>
        </w:tblPrEx>
        <w:trPr>
          <w:trHeight w:val="465"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2</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预算阶段</w:t>
            </w: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建筑与装饰工程量计算</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广联达BIM土建计量平台GTJ2018</w:t>
            </w:r>
          </w:p>
        </w:tc>
      </w:tr>
      <w:tr>
        <w:tblPrEx>
          <w:tblLayout w:type="fixed"/>
          <w:tblCellMar>
            <w:top w:w="0" w:type="dxa"/>
            <w:left w:w="108" w:type="dxa"/>
            <w:bottom w:w="0" w:type="dxa"/>
            <w:right w:w="108" w:type="dxa"/>
          </w:tblCellMar>
        </w:tblPrEx>
        <w:trPr>
          <w:trHeight w:val="465"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3</w:t>
            </w:r>
          </w:p>
        </w:tc>
        <w:tc>
          <w:tcPr>
            <w:tcW w:w="148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水电安装工程量计算</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广联达BIM安装计量软件GQI2019</w:t>
            </w:r>
          </w:p>
        </w:tc>
      </w:tr>
      <w:tr>
        <w:tblPrEx>
          <w:tblLayout w:type="fixed"/>
          <w:tblCellMar>
            <w:top w:w="0" w:type="dxa"/>
            <w:left w:w="108" w:type="dxa"/>
            <w:bottom w:w="0" w:type="dxa"/>
            <w:right w:w="108" w:type="dxa"/>
          </w:tblCellMar>
        </w:tblPrEx>
        <w:trPr>
          <w:trHeight w:val="465"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4</w:t>
            </w:r>
          </w:p>
        </w:tc>
        <w:tc>
          <w:tcPr>
            <w:tcW w:w="148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建筑工程清单计价</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广联达云计价平台GCCP5.0</w:t>
            </w:r>
          </w:p>
        </w:tc>
      </w:tr>
      <w:tr>
        <w:tblPrEx>
          <w:tblLayout w:type="fixed"/>
          <w:tblCellMar>
            <w:top w:w="0" w:type="dxa"/>
            <w:left w:w="108" w:type="dxa"/>
            <w:bottom w:w="0" w:type="dxa"/>
            <w:right w:w="108" w:type="dxa"/>
          </w:tblCellMar>
        </w:tblPrEx>
        <w:trPr>
          <w:trHeight w:val="465"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5</w:t>
            </w:r>
          </w:p>
        </w:tc>
        <w:tc>
          <w:tcPr>
            <w:tcW w:w="148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招标文件编制</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广联达电子招标文件编制工具V6.0</w:t>
            </w:r>
          </w:p>
        </w:tc>
      </w:tr>
      <w:tr>
        <w:tblPrEx>
          <w:tblLayout w:type="fixed"/>
          <w:tblCellMar>
            <w:top w:w="0" w:type="dxa"/>
            <w:left w:w="108" w:type="dxa"/>
            <w:bottom w:w="0" w:type="dxa"/>
            <w:right w:w="108" w:type="dxa"/>
          </w:tblCellMar>
        </w:tblPrEx>
        <w:trPr>
          <w:trHeight w:val="675"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6</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施工阶段</w:t>
            </w: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BIM5D成本管理</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广联达BIM5D3.5</w:t>
            </w:r>
            <w:r>
              <w:rPr>
                <w:rFonts w:hint="eastAsia" w:ascii="仿宋" w:hAnsi="仿宋" w:eastAsia="仿宋"/>
                <w:color w:val="000000"/>
                <w:sz w:val="24"/>
                <w:szCs w:val="24"/>
                <w:lang w:eastAsia="zh-CN"/>
              </w:rPr>
              <w:br w:type="textWrapping"/>
            </w:r>
            <w:r>
              <w:rPr>
                <w:rFonts w:hint="eastAsia" w:ascii="仿宋" w:hAnsi="仿宋" w:eastAsia="仿宋"/>
                <w:color w:val="000000"/>
                <w:sz w:val="24"/>
                <w:szCs w:val="24"/>
                <w:lang w:eastAsia="zh-CN"/>
              </w:rPr>
              <w:t>广联达斑马网络计划专业版</w:t>
            </w:r>
          </w:p>
        </w:tc>
      </w:tr>
      <w:tr>
        <w:tblPrEx>
          <w:tblLayout w:type="fixed"/>
          <w:tblCellMar>
            <w:top w:w="0" w:type="dxa"/>
            <w:left w:w="108" w:type="dxa"/>
            <w:bottom w:w="0" w:type="dxa"/>
            <w:right w:w="108" w:type="dxa"/>
          </w:tblCellMar>
        </w:tblPrEx>
        <w:trPr>
          <w:trHeight w:val="465"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7</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结算阶段</w:t>
            </w:r>
          </w:p>
        </w:tc>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项目结算与审核</w:t>
            </w:r>
          </w:p>
        </w:tc>
        <w:tc>
          <w:tcPr>
            <w:tcW w:w="4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广联达BIM土建计量平台GTJ2018</w:t>
            </w:r>
            <w:r>
              <w:rPr>
                <w:rFonts w:hint="eastAsia" w:ascii="仿宋" w:hAnsi="仿宋" w:eastAsia="仿宋"/>
                <w:color w:val="000000"/>
                <w:sz w:val="24"/>
                <w:szCs w:val="24"/>
                <w:lang w:eastAsia="zh-CN"/>
              </w:rPr>
              <w:br w:type="textWrapping"/>
            </w:r>
            <w:r>
              <w:rPr>
                <w:rFonts w:hint="eastAsia" w:ascii="仿宋" w:hAnsi="仿宋" w:eastAsia="仿宋"/>
                <w:color w:val="000000"/>
                <w:sz w:val="24"/>
                <w:szCs w:val="24"/>
                <w:lang w:eastAsia="zh-CN"/>
              </w:rPr>
              <w:t>广联达云计价平台GCCP5.0</w:t>
            </w:r>
          </w:p>
        </w:tc>
      </w:tr>
      <w:tr>
        <w:tblPrEx>
          <w:tblLayout w:type="fixed"/>
          <w:tblCellMar>
            <w:top w:w="0" w:type="dxa"/>
            <w:left w:w="108" w:type="dxa"/>
            <w:bottom w:w="0" w:type="dxa"/>
            <w:right w:w="108" w:type="dxa"/>
          </w:tblCellMar>
        </w:tblPrEx>
        <w:trPr>
          <w:trHeight w:val="465" w:hRule="atLeast"/>
          <w:jc w:val="center"/>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8</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审核阶段</w:t>
            </w:r>
          </w:p>
        </w:tc>
        <w:tc>
          <w:tcPr>
            <w:tcW w:w="280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c>
          <w:tcPr>
            <w:tcW w:w="486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Layout w:type="fixed"/>
          <w:tblCellMar>
            <w:top w:w="0" w:type="dxa"/>
            <w:left w:w="108" w:type="dxa"/>
            <w:bottom w:w="0" w:type="dxa"/>
            <w:right w:w="108" w:type="dxa"/>
          </w:tblCellMar>
        </w:tblPrEx>
        <w:trPr>
          <w:trHeight w:val="1065" w:hRule="atLeast"/>
          <w:jc w:val="center"/>
        </w:trPr>
        <w:tc>
          <w:tcPr>
            <w:tcW w:w="995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说明：</w:t>
            </w:r>
            <w:r>
              <w:rPr>
                <w:rFonts w:hint="eastAsia" w:ascii="仿宋" w:hAnsi="仿宋" w:eastAsia="仿宋"/>
                <w:color w:val="000000"/>
                <w:sz w:val="24"/>
                <w:szCs w:val="24"/>
                <w:lang w:eastAsia="zh-CN"/>
              </w:rPr>
              <w:br w:type="textWrapping"/>
            </w:r>
            <w:r>
              <w:rPr>
                <w:rFonts w:hint="eastAsia" w:ascii="仿宋" w:hAnsi="仿宋" w:eastAsia="仿宋"/>
                <w:color w:val="000000"/>
                <w:sz w:val="24"/>
                <w:szCs w:val="24"/>
                <w:lang w:eastAsia="zh-CN"/>
              </w:rPr>
              <w:t>1)以上所有软件均需要安装广联达云加密锁驱动程序3.8.576.3376版本；</w:t>
            </w:r>
            <w:r>
              <w:rPr>
                <w:rFonts w:hint="eastAsia" w:ascii="仿宋" w:hAnsi="仿宋" w:eastAsia="仿宋"/>
                <w:color w:val="000000"/>
                <w:sz w:val="24"/>
                <w:szCs w:val="24"/>
                <w:lang w:eastAsia="zh-CN"/>
              </w:rPr>
              <w:br w:type="textWrapping"/>
            </w:r>
            <w:r>
              <w:rPr>
                <w:rFonts w:hint="eastAsia" w:ascii="仿宋" w:hAnsi="仿宋" w:eastAsia="仿宋"/>
                <w:color w:val="000000"/>
                <w:sz w:val="24"/>
                <w:szCs w:val="24"/>
                <w:lang w:eastAsia="zh-CN"/>
              </w:rPr>
              <w:t>2)以上软件均可在大赛官网下载。</w:t>
            </w:r>
          </w:p>
        </w:tc>
      </w:tr>
    </w:tbl>
    <w:p>
      <w:pPr>
        <w:rPr>
          <w:rFonts w:asciiTheme="minorEastAsia" w:hAnsiTheme="minorEastAsia" w:eastAsiaTheme="minorEastAsia" w:cstheme="minorEastAsia"/>
          <w:sz w:val="30"/>
          <w:szCs w:val="30"/>
          <w:lang w:eastAsia="zh-CN"/>
        </w:rPr>
      </w:pPr>
    </w:p>
    <w:p>
      <w:pPr>
        <w:widowControl/>
        <w:numPr>
          <w:ilvl w:val="0"/>
          <w:numId w:val="6"/>
        </w:numPr>
        <w:spacing w:line="360" w:lineRule="auto"/>
        <w:ind w:firstLine="14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竞赛硬件</w:t>
      </w:r>
    </w:p>
    <w:p>
      <w:pPr>
        <w:widowControl/>
        <w:numPr>
          <w:ilvl w:val="0"/>
          <w:numId w:val="7"/>
        </w:numPr>
        <w:spacing w:line="360" w:lineRule="auto"/>
        <w:ind w:left="0" w:firstLine="56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竞赛电脑</w:t>
      </w:r>
    </w:p>
    <w:p>
      <w:pPr>
        <w:pStyle w:val="7"/>
        <w:spacing w:line="360" w:lineRule="auto"/>
        <w:ind w:left="660" w:leftChars="3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参赛选手自备笔记本电脑，每个团队需要准备3台电脑。</w:t>
      </w:r>
    </w:p>
    <w:p>
      <w:pPr>
        <w:pStyle w:val="7"/>
        <w:numPr>
          <w:ilvl w:val="1"/>
          <w:numId w:val="8"/>
        </w:numPr>
        <w:spacing w:line="360" w:lineRule="auto"/>
        <w:rPr>
          <w:rFonts w:asciiTheme="minorEastAsia" w:hAnsiTheme="minorEastAsia" w:eastAsiaTheme="minorEastAsia" w:cstheme="minorEastAsia"/>
          <w:kern w:val="2"/>
          <w:sz w:val="30"/>
          <w:szCs w:val="30"/>
        </w:rPr>
      </w:pPr>
      <w:r>
        <w:rPr>
          <w:rFonts w:hint="eastAsia" w:asciiTheme="minorEastAsia" w:hAnsiTheme="minorEastAsia" w:eastAsiaTheme="minorEastAsia" w:cstheme="minorEastAsia"/>
          <w:kern w:val="2"/>
          <w:sz w:val="30"/>
          <w:szCs w:val="30"/>
        </w:rPr>
        <w:t>推荐配置：</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系统：64位 Window 7 旗舰版</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处理器：Intel(R) Core(TM) i5-7500 3.40GHz</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内存： 16GB</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硬盘： 120GB(SSD) + 1TB(7200转)</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显卡指标： 1920*1200DIRECTX 11</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参考型号：NVIDIA GTX1050Ti</w:t>
      </w:r>
    </w:p>
    <w:p>
      <w:pPr>
        <w:pStyle w:val="7"/>
        <w:numPr>
          <w:ilvl w:val="1"/>
          <w:numId w:val="8"/>
        </w:numPr>
        <w:spacing w:line="360" w:lineRule="auto"/>
        <w:rPr>
          <w:rFonts w:asciiTheme="minorEastAsia" w:hAnsiTheme="minorEastAsia" w:eastAsiaTheme="minorEastAsia" w:cstheme="minorEastAsia"/>
          <w:kern w:val="2"/>
          <w:sz w:val="30"/>
          <w:szCs w:val="30"/>
        </w:rPr>
      </w:pPr>
      <w:r>
        <w:rPr>
          <w:rFonts w:hint="eastAsia" w:asciiTheme="minorEastAsia" w:hAnsiTheme="minorEastAsia" w:eastAsiaTheme="minorEastAsia" w:cstheme="minorEastAsia"/>
          <w:kern w:val="2"/>
          <w:sz w:val="30"/>
          <w:szCs w:val="30"/>
        </w:rPr>
        <w:t>最低配置：</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系统：32位 Window 7 旗舰版</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处理器：Intel(R) Core(TM) i3-2130 3.40GHz</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内存：4GB</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硬盘： 500GB(7200转)</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显卡指标： 1920*1200   DIRECTX 11</w:t>
      </w:r>
    </w:p>
    <w:p>
      <w:pPr>
        <w:pStyle w:val="7"/>
        <w:spacing w:line="360" w:lineRule="auto"/>
        <w:ind w:left="660" w:leftChars="3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参考型号：Intel(R) HD Graphics</w:t>
      </w:r>
    </w:p>
    <w:p>
      <w:pPr>
        <w:pStyle w:val="7"/>
        <w:numPr>
          <w:ilvl w:val="1"/>
          <w:numId w:val="8"/>
        </w:numPr>
        <w:spacing w:line="360" w:lineRule="auto"/>
        <w:rPr>
          <w:rFonts w:asciiTheme="minorEastAsia" w:hAnsiTheme="minorEastAsia" w:eastAsiaTheme="minorEastAsia" w:cstheme="minorEastAsia"/>
          <w:kern w:val="2"/>
          <w:sz w:val="30"/>
          <w:szCs w:val="30"/>
        </w:rPr>
      </w:pPr>
      <w:r>
        <w:rPr>
          <w:rFonts w:hint="eastAsia" w:asciiTheme="minorEastAsia" w:hAnsiTheme="minorEastAsia" w:eastAsiaTheme="minorEastAsia" w:cstheme="minorEastAsia"/>
          <w:kern w:val="2"/>
          <w:sz w:val="30"/>
          <w:szCs w:val="30"/>
        </w:rPr>
        <w:t>不支持使用配置：</w:t>
      </w:r>
    </w:p>
    <w:p>
      <w:pPr>
        <w:pStyle w:val="7"/>
        <w:spacing w:line="360" w:lineRule="auto"/>
        <w:ind w:left="660" w:leftChars="3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系统：XP系统，苹果系统</w:t>
      </w:r>
    </w:p>
    <w:p>
      <w:pPr>
        <w:pStyle w:val="7"/>
        <w:spacing w:line="360" w:lineRule="auto"/>
        <w:ind w:left="660" w:leftChars="3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配置：内存低于4G的电脑；</w:t>
      </w:r>
    </w:p>
    <w:p>
      <w:pPr>
        <w:widowControl/>
        <w:numPr>
          <w:ilvl w:val="0"/>
          <w:numId w:val="7"/>
        </w:numPr>
        <w:spacing w:line="360" w:lineRule="auto"/>
        <w:ind w:left="0" w:firstLine="56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加密锁</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备赛练习加密锁由广联达公司免费提供，参赛选手可通过官网在线免费申请云加密锁，审核通过后即可使用，决赛现场由广联达公司提供实体锁，并在决赛结束后回收。</w:t>
      </w:r>
    </w:p>
    <w:p>
      <w:pPr>
        <w:widowControl/>
        <w:numPr>
          <w:ilvl w:val="0"/>
          <w:numId w:val="7"/>
        </w:numPr>
        <w:spacing w:line="360" w:lineRule="auto"/>
        <w:ind w:left="0" w:firstLine="56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其它</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参赛选手自行准备身份证、学生证、16G101系列平法图集、黑色签字笔、直尺、铅笔、橡皮、计算器。</w:t>
      </w:r>
    </w:p>
    <w:p>
      <w:pPr>
        <w:spacing w:line="360" w:lineRule="auto"/>
        <w:ind w:firstLine="567"/>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备注：上述设备须由参赛选手在赛前自行准备及调试。</w:t>
      </w:r>
    </w:p>
    <w:p>
      <w:pPr>
        <w:pStyle w:val="8"/>
        <w:numPr>
          <w:ilvl w:val="0"/>
          <w:numId w:val="1"/>
        </w:numPr>
        <w:spacing w:before="240" w:after="60"/>
        <w:ind w:hanging="137"/>
        <w:jc w:val="left"/>
        <w:outlineLvl w:val="1"/>
        <w:rPr>
          <w:rFonts w:ascii="微软雅黑" w:hAnsi="微软雅黑" w:eastAsia="微软雅黑" w:cs="微软雅黑"/>
          <w:sz w:val="28"/>
          <w:szCs w:val="28"/>
        </w:rPr>
      </w:pPr>
      <w:r>
        <w:rPr>
          <w:rFonts w:hint="eastAsia" w:ascii="微软雅黑" w:hAnsi="微软雅黑" w:eastAsia="微软雅黑" w:cs="微软雅黑"/>
          <w:sz w:val="28"/>
          <w:szCs w:val="28"/>
        </w:rPr>
        <w:t>竞赛评分</w:t>
      </w:r>
    </w:p>
    <w:p>
      <w:pPr>
        <w:widowControl/>
        <w:numPr>
          <w:ilvl w:val="0"/>
          <w:numId w:val="9"/>
        </w:numPr>
        <w:spacing w:line="360" w:lineRule="auto"/>
        <w:ind w:left="0" w:right="-340" w:firstLine="56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评分方式</w:t>
      </w:r>
    </w:p>
    <w:p>
      <w:pPr>
        <w:spacing w:line="360" w:lineRule="auto"/>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所有比赛项目在大赛专家组的监督下，通过以下广联达评分软件自动完成评分，各子赛项评分软件情况如下：</w:t>
      </w:r>
    </w:p>
    <w:p>
      <w:pPr>
        <w:spacing w:line="360" w:lineRule="auto"/>
        <w:ind w:firstLine="600" w:firstLineChars="200"/>
        <w:rPr>
          <w:rFonts w:hint="eastAsia" w:asciiTheme="minorEastAsia" w:hAnsiTheme="minorEastAsia" w:eastAsiaTheme="minorEastAsia" w:cstheme="minorEastAsia"/>
          <w:sz w:val="30"/>
          <w:szCs w:val="30"/>
          <w:lang w:eastAsia="zh-CN"/>
        </w:rPr>
      </w:pPr>
    </w:p>
    <w:p>
      <w:pPr>
        <w:spacing w:line="360" w:lineRule="auto"/>
        <w:ind w:firstLine="600" w:firstLineChars="200"/>
        <w:rPr>
          <w:rFonts w:hint="eastAsia" w:asciiTheme="minorEastAsia" w:hAnsiTheme="minorEastAsia" w:eastAsiaTheme="minorEastAsia" w:cstheme="minorEastAsia"/>
          <w:sz w:val="30"/>
          <w:szCs w:val="30"/>
          <w:lang w:eastAsia="zh-CN"/>
        </w:rPr>
      </w:pPr>
    </w:p>
    <w:p>
      <w:pPr>
        <w:spacing w:line="360" w:lineRule="auto"/>
        <w:rPr>
          <w:rFonts w:hint="eastAsia" w:asciiTheme="minorEastAsia" w:hAnsiTheme="minorEastAsia" w:eastAsiaTheme="minorEastAsia" w:cstheme="minorEastAsia"/>
          <w:sz w:val="30"/>
          <w:szCs w:val="30"/>
          <w:lang w:eastAsia="zh-CN"/>
        </w:rPr>
      </w:pPr>
    </w:p>
    <w:p>
      <w:pPr>
        <w:spacing w:line="360" w:lineRule="auto"/>
        <w:rPr>
          <w:rFonts w:hint="eastAsia" w:asciiTheme="minorEastAsia" w:hAnsiTheme="minorEastAsia" w:eastAsiaTheme="minorEastAsia" w:cstheme="minorEastAsia"/>
          <w:sz w:val="30"/>
          <w:szCs w:val="30"/>
          <w:lang w:eastAsia="zh-CN"/>
        </w:rPr>
      </w:pPr>
    </w:p>
    <w:tbl>
      <w:tblPr>
        <w:tblStyle w:val="9"/>
        <w:tblW w:w="10033" w:type="dxa"/>
        <w:jc w:val="center"/>
        <w:tblInd w:w="460" w:type="dxa"/>
        <w:tblLayout w:type="fixed"/>
        <w:tblCellMar>
          <w:top w:w="0" w:type="dxa"/>
          <w:left w:w="108" w:type="dxa"/>
          <w:bottom w:w="0" w:type="dxa"/>
          <w:right w:w="108" w:type="dxa"/>
        </w:tblCellMar>
      </w:tblPr>
      <w:tblGrid>
        <w:gridCol w:w="893"/>
        <w:gridCol w:w="1480"/>
        <w:gridCol w:w="2800"/>
        <w:gridCol w:w="4860"/>
      </w:tblGrid>
      <w:tr>
        <w:tblPrEx>
          <w:tblLayout w:type="fixed"/>
          <w:tblCellMar>
            <w:top w:w="0" w:type="dxa"/>
            <w:left w:w="108" w:type="dxa"/>
            <w:bottom w:w="0" w:type="dxa"/>
            <w:right w:w="108" w:type="dxa"/>
          </w:tblCellMar>
        </w:tblPrEx>
        <w:trPr>
          <w:trHeight w:val="465"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专项编号</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全过程造价</w:t>
            </w:r>
          </w:p>
        </w:tc>
        <w:tc>
          <w:tcPr>
            <w:tcW w:w="28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子项目</w:t>
            </w:r>
          </w:p>
        </w:tc>
        <w:tc>
          <w:tcPr>
            <w:tcW w:w="48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评分软件</w:t>
            </w:r>
          </w:p>
        </w:tc>
      </w:tr>
      <w:tr>
        <w:tblPrEx>
          <w:tblLayout w:type="fixed"/>
          <w:tblCellMar>
            <w:top w:w="0" w:type="dxa"/>
            <w:left w:w="108" w:type="dxa"/>
            <w:bottom w:w="0" w:type="dxa"/>
            <w:right w:w="108" w:type="dxa"/>
          </w:tblCellMar>
        </w:tblPrEx>
        <w:trPr>
          <w:trHeight w:val="465" w:hRule="atLeast"/>
          <w:jc w:val="center"/>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1</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概算阶段</w:t>
            </w: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投资估算与招标策划</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广联达工程BIM招标项目管理执行评测系统</w:t>
            </w:r>
          </w:p>
        </w:tc>
      </w:tr>
      <w:tr>
        <w:tblPrEx>
          <w:tblLayout w:type="fixed"/>
          <w:tblCellMar>
            <w:top w:w="0" w:type="dxa"/>
            <w:left w:w="108" w:type="dxa"/>
            <w:bottom w:w="0" w:type="dxa"/>
            <w:right w:w="108" w:type="dxa"/>
          </w:tblCellMar>
        </w:tblPrEx>
        <w:trPr>
          <w:trHeight w:val="465" w:hRule="atLeast"/>
          <w:jc w:val="center"/>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2</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预算阶段</w:t>
            </w: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建筑与装饰工程量计算</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广联达土建计量评分软件GTJPF2018</w:t>
            </w:r>
          </w:p>
        </w:tc>
      </w:tr>
      <w:tr>
        <w:tblPrEx>
          <w:tblLayout w:type="fixed"/>
          <w:tblCellMar>
            <w:top w:w="0" w:type="dxa"/>
            <w:left w:w="108" w:type="dxa"/>
            <w:bottom w:w="0" w:type="dxa"/>
            <w:right w:w="108" w:type="dxa"/>
          </w:tblCellMar>
        </w:tblPrEx>
        <w:trPr>
          <w:trHeight w:val="465" w:hRule="atLeast"/>
          <w:jc w:val="center"/>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3</w:t>
            </w:r>
          </w:p>
        </w:tc>
        <w:tc>
          <w:tcPr>
            <w:tcW w:w="148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水电安装工程量计算</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广联达BIM安装算量评分软件GQIPF2019</w:t>
            </w:r>
          </w:p>
        </w:tc>
      </w:tr>
      <w:tr>
        <w:tblPrEx>
          <w:tblLayout w:type="fixed"/>
          <w:tblCellMar>
            <w:top w:w="0" w:type="dxa"/>
            <w:left w:w="108" w:type="dxa"/>
            <w:bottom w:w="0" w:type="dxa"/>
            <w:right w:w="108" w:type="dxa"/>
          </w:tblCellMar>
        </w:tblPrEx>
        <w:trPr>
          <w:trHeight w:val="465" w:hRule="atLeast"/>
          <w:jc w:val="center"/>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4</w:t>
            </w:r>
          </w:p>
        </w:tc>
        <w:tc>
          <w:tcPr>
            <w:tcW w:w="148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建筑工程清单计价</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广联达计价评分软件GCCPPF5.0</w:t>
            </w:r>
          </w:p>
        </w:tc>
      </w:tr>
      <w:tr>
        <w:tblPrEx>
          <w:tblLayout w:type="fixed"/>
          <w:tblCellMar>
            <w:top w:w="0" w:type="dxa"/>
            <w:left w:w="108" w:type="dxa"/>
            <w:bottom w:w="0" w:type="dxa"/>
            <w:right w:w="108" w:type="dxa"/>
          </w:tblCellMar>
        </w:tblPrEx>
        <w:trPr>
          <w:trHeight w:val="465" w:hRule="atLeast"/>
          <w:jc w:val="center"/>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5</w:t>
            </w:r>
          </w:p>
        </w:tc>
        <w:tc>
          <w:tcPr>
            <w:tcW w:w="148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招标文件编制</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广联达工程BIM招标项目管理执行评测系统</w:t>
            </w:r>
          </w:p>
        </w:tc>
      </w:tr>
      <w:tr>
        <w:tblPrEx>
          <w:tblLayout w:type="fixed"/>
          <w:tblCellMar>
            <w:top w:w="0" w:type="dxa"/>
            <w:left w:w="108" w:type="dxa"/>
            <w:bottom w:w="0" w:type="dxa"/>
            <w:right w:w="108" w:type="dxa"/>
          </w:tblCellMar>
        </w:tblPrEx>
        <w:trPr>
          <w:trHeight w:val="525" w:hRule="atLeast"/>
          <w:jc w:val="center"/>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6</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施工阶段</w:t>
            </w:r>
          </w:p>
        </w:tc>
        <w:tc>
          <w:tcPr>
            <w:tcW w:w="28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BIM5D成本管理</w:t>
            </w:r>
          </w:p>
        </w:tc>
        <w:tc>
          <w:tcPr>
            <w:tcW w:w="4860"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广联达BIM5D评分软件</w:t>
            </w:r>
          </w:p>
        </w:tc>
      </w:tr>
      <w:tr>
        <w:tblPrEx>
          <w:tblLayout w:type="fixed"/>
          <w:tblCellMar>
            <w:top w:w="0" w:type="dxa"/>
            <w:left w:w="108" w:type="dxa"/>
            <w:bottom w:w="0" w:type="dxa"/>
            <w:right w:w="108" w:type="dxa"/>
          </w:tblCellMar>
        </w:tblPrEx>
        <w:trPr>
          <w:trHeight w:val="465" w:hRule="atLeast"/>
          <w:jc w:val="center"/>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7</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结算阶段</w:t>
            </w:r>
          </w:p>
        </w:tc>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项目结算与审核</w:t>
            </w:r>
          </w:p>
        </w:tc>
        <w:tc>
          <w:tcPr>
            <w:tcW w:w="4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广联达土建计量评分软件GTJPF2018</w:t>
            </w:r>
            <w:r>
              <w:rPr>
                <w:rFonts w:hint="eastAsia" w:ascii="仿宋" w:hAnsi="仿宋" w:eastAsia="仿宋"/>
                <w:color w:val="000000"/>
                <w:sz w:val="24"/>
                <w:szCs w:val="24"/>
                <w:lang w:eastAsia="zh-CN"/>
              </w:rPr>
              <w:br w:type="textWrapping"/>
            </w:r>
            <w:r>
              <w:rPr>
                <w:rFonts w:hint="eastAsia" w:ascii="仿宋" w:hAnsi="仿宋" w:eastAsia="仿宋"/>
                <w:color w:val="000000"/>
                <w:sz w:val="24"/>
                <w:szCs w:val="24"/>
                <w:lang w:eastAsia="zh-CN"/>
              </w:rPr>
              <w:t>广联达计价评分软件GCCPPF5.0</w:t>
            </w:r>
          </w:p>
        </w:tc>
      </w:tr>
      <w:tr>
        <w:tblPrEx>
          <w:tblLayout w:type="fixed"/>
          <w:tblCellMar>
            <w:top w:w="0" w:type="dxa"/>
            <w:left w:w="108" w:type="dxa"/>
            <w:bottom w:w="0" w:type="dxa"/>
            <w:right w:w="108" w:type="dxa"/>
          </w:tblCellMar>
        </w:tblPrEx>
        <w:trPr>
          <w:trHeight w:val="465" w:hRule="atLeast"/>
          <w:jc w:val="center"/>
        </w:trPr>
        <w:tc>
          <w:tcPr>
            <w:tcW w:w="8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8</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000000"/>
                <w:sz w:val="24"/>
                <w:szCs w:val="24"/>
                <w:lang w:eastAsia="zh-CN"/>
              </w:rPr>
            </w:pPr>
            <w:r>
              <w:rPr>
                <w:rFonts w:hint="eastAsia" w:ascii="仿宋" w:hAnsi="仿宋" w:eastAsia="仿宋"/>
                <w:color w:val="000000"/>
                <w:sz w:val="24"/>
                <w:szCs w:val="24"/>
                <w:lang w:eastAsia="zh-CN"/>
              </w:rPr>
              <w:t>审核阶段</w:t>
            </w:r>
          </w:p>
        </w:tc>
        <w:tc>
          <w:tcPr>
            <w:tcW w:w="280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c>
          <w:tcPr>
            <w:tcW w:w="4860" w:type="dxa"/>
            <w:vMerge w:val="continue"/>
            <w:tcBorders>
              <w:top w:val="nil"/>
              <w:left w:val="single" w:color="auto" w:sz="4" w:space="0"/>
              <w:bottom w:val="single" w:color="000000"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bl>
    <w:p>
      <w:pPr>
        <w:widowControl/>
        <w:numPr>
          <w:ilvl w:val="0"/>
          <w:numId w:val="9"/>
        </w:numPr>
        <w:spacing w:line="360" w:lineRule="auto"/>
        <w:ind w:right="-340" w:firstLine="14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评分细则</w:t>
      </w:r>
    </w:p>
    <w:p>
      <w:pPr>
        <w:widowControl/>
        <w:numPr>
          <w:ilvl w:val="0"/>
          <w:numId w:val="10"/>
        </w:numPr>
        <w:spacing w:line="360" w:lineRule="auto"/>
        <w:ind w:left="0" w:firstLine="567"/>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建筑与装饰工程量计算（包含</w:t>
      </w:r>
      <w:r>
        <w:rPr>
          <w:rFonts w:asciiTheme="minorEastAsia" w:hAnsiTheme="minorEastAsia" w:eastAsiaTheme="minorEastAsia" w:cstheme="minorEastAsia"/>
          <w:sz w:val="30"/>
          <w:szCs w:val="30"/>
          <w:lang w:eastAsia="zh-CN"/>
        </w:rPr>
        <w:t>预算阶段与结算阶段</w:t>
      </w:r>
      <w:r>
        <w:rPr>
          <w:rFonts w:hint="eastAsia" w:asciiTheme="minorEastAsia" w:hAnsiTheme="minorEastAsia" w:eastAsiaTheme="minorEastAsia" w:cstheme="minorEastAsia"/>
          <w:sz w:val="30"/>
          <w:szCs w:val="30"/>
          <w:lang w:eastAsia="zh-CN"/>
        </w:rPr>
        <w:t>）：</w:t>
      </w:r>
    </w:p>
    <w:p>
      <w:pPr>
        <w:widowControl/>
        <w:spacing w:line="360" w:lineRule="auto"/>
        <w:ind w:firstLine="600" w:firstLineChars="200"/>
        <w:jc w:val="both"/>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钢筋工程量计算：按各类构件在每一层的钢筋量的准确率进行考核，如果计算得出的钢筋工程量与标准答案的误差在2%以内，该项得分为满分；误差在5%范围内，2%-5%区间得分线性分布；误差在5%以外，则该项不得分；</w:t>
      </w:r>
    </w:p>
    <w:p>
      <w:pPr>
        <w:widowControl/>
        <w:spacing w:line="360" w:lineRule="auto"/>
        <w:ind w:firstLine="600" w:firstLineChars="200"/>
        <w:jc w:val="both"/>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土建工程量计算：按清单在每一层的工程量的准确率进行考核，如果计算得出的土建工程量与标准答案的误差在2%以内，该项得分为满分；误差在5%范围内，2%-5%区间得分线性分布；误差在5%以外，则该项不得分。</w:t>
      </w:r>
    </w:p>
    <w:p>
      <w:pPr>
        <w:widowControl/>
        <w:numPr>
          <w:ilvl w:val="0"/>
          <w:numId w:val="10"/>
        </w:numPr>
        <w:spacing w:line="360" w:lineRule="auto"/>
        <w:ind w:left="0" w:firstLine="567"/>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水电安装工程量计算：按清单在每一层的工程量的准确率进行考核，如果计算得出的安装工程量与标准答案的误差在2%以内，该项得分为满分；误差在5%范围内，2%-5%区间得分线性分布；误差在5%以外，则该项不得分。</w:t>
      </w:r>
    </w:p>
    <w:p>
      <w:pPr>
        <w:widowControl/>
        <w:numPr>
          <w:ilvl w:val="0"/>
          <w:numId w:val="0"/>
        </w:numPr>
        <w:autoSpaceDE w:val="0"/>
        <w:autoSpaceDN w:val="0"/>
        <w:spacing w:line="360" w:lineRule="auto"/>
        <w:rPr>
          <w:rFonts w:hint="eastAsia" w:asciiTheme="minorEastAsia" w:hAnsiTheme="minorEastAsia" w:eastAsiaTheme="minorEastAsia" w:cstheme="minorEastAsia"/>
          <w:sz w:val="30"/>
          <w:szCs w:val="30"/>
          <w:lang w:eastAsia="zh-CN"/>
        </w:rPr>
      </w:pPr>
    </w:p>
    <w:p>
      <w:pPr>
        <w:widowControl/>
        <w:numPr>
          <w:ilvl w:val="0"/>
          <w:numId w:val="0"/>
        </w:numPr>
        <w:autoSpaceDE w:val="0"/>
        <w:autoSpaceDN w:val="0"/>
        <w:spacing w:line="360" w:lineRule="auto"/>
        <w:rPr>
          <w:rFonts w:hint="eastAsia" w:asciiTheme="minorEastAsia" w:hAnsiTheme="minorEastAsia" w:eastAsiaTheme="minorEastAsia" w:cstheme="minorEastAsia"/>
          <w:sz w:val="30"/>
          <w:szCs w:val="30"/>
          <w:lang w:eastAsia="zh-CN"/>
        </w:rPr>
      </w:pPr>
    </w:p>
    <w:p>
      <w:pPr>
        <w:widowControl/>
        <w:numPr>
          <w:ilvl w:val="0"/>
          <w:numId w:val="10"/>
        </w:numPr>
        <w:spacing w:line="360" w:lineRule="auto"/>
        <w:ind w:left="0" w:firstLine="567"/>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工程计价：</w:t>
      </w:r>
    </w:p>
    <w:p>
      <w:pPr>
        <w:widowControl/>
        <w:spacing w:line="360" w:lineRule="auto"/>
        <w:ind w:firstLine="600" w:firstLineChars="200"/>
        <w:jc w:val="both"/>
        <w:rPr>
          <w:rFonts w:asciiTheme="minorEastAsia" w:hAnsiTheme="minorEastAsia" w:eastAsiaTheme="minorEastAsia" w:cstheme="minorEastAsia"/>
          <w:sz w:val="30"/>
          <w:szCs w:val="30"/>
          <w:lang w:eastAsia="zh-CN"/>
        </w:rPr>
      </w:pPr>
      <w:r>
        <w:rPr>
          <w:rFonts w:asciiTheme="minorEastAsia" w:hAnsiTheme="minorEastAsia" w:eastAsiaTheme="minorEastAsia" w:cstheme="minorEastAsia"/>
          <w:sz w:val="30"/>
          <w:szCs w:val="30"/>
          <w:lang w:eastAsia="zh-CN"/>
        </w:rPr>
        <w:t>预算阶段与结算阶段</w:t>
      </w:r>
      <w:r>
        <w:rPr>
          <w:rFonts w:hint="eastAsia" w:asciiTheme="minorEastAsia" w:hAnsiTheme="minorEastAsia" w:eastAsiaTheme="minorEastAsia" w:cstheme="minorEastAsia"/>
          <w:sz w:val="30"/>
          <w:szCs w:val="30"/>
          <w:lang w:eastAsia="zh-CN"/>
        </w:rPr>
        <w:t>:按每条清单的综合单价的准确率进行考核，针对于每条清单如果计算得出的综合单价与标准答案的误差在2%以内，该项得分为满分；误差在5%范围内，2%-5%区间得分线性分布；误差在5%以外，则该项不得分；</w:t>
      </w:r>
    </w:p>
    <w:p>
      <w:pPr>
        <w:widowControl/>
        <w:spacing w:line="360" w:lineRule="auto"/>
        <w:ind w:firstLine="600" w:firstLineChars="200"/>
        <w:jc w:val="both"/>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审核阶段</w:t>
      </w:r>
      <w:r>
        <w:rPr>
          <w:rFonts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eastAsia="zh-CN"/>
        </w:rPr>
        <w:t>按照工程文件送审金额与审定金额的差额准确率进行考核，并生成该文件的审核报告，针对审增</w:t>
      </w:r>
      <w:r>
        <w:rPr>
          <w:rFonts w:asciiTheme="minorEastAsia" w:hAnsiTheme="minorEastAsia" w:eastAsiaTheme="minorEastAsia" w:cstheme="minorEastAsia"/>
          <w:sz w:val="30"/>
          <w:szCs w:val="30"/>
          <w:lang w:eastAsia="zh-CN"/>
        </w:rPr>
        <w:t>/审减差额与标准答案误差在2%以内，该项得分为满分；误差在5%范围内，2%-5%区间得分线性分布；误差在5%以外，则该项不得分</w:t>
      </w:r>
      <w:r>
        <w:rPr>
          <w:rFonts w:hint="eastAsia" w:asciiTheme="minorEastAsia" w:hAnsiTheme="minorEastAsia" w:eastAsiaTheme="minorEastAsia" w:cstheme="minorEastAsia"/>
          <w:sz w:val="30"/>
          <w:szCs w:val="30"/>
          <w:lang w:eastAsia="zh-CN"/>
        </w:rPr>
        <w:t>。</w:t>
      </w:r>
    </w:p>
    <w:p>
      <w:pPr>
        <w:widowControl/>
        <w:numPr>
          <w:ilvl w:val="0"/>
          <w:numId w:val="10"/>
        </w:numPr>
        <w:spacing w:line="360" w:lineRule="auto"/>
        <w:ind w:left="0" w:firstLine="567"/>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BIM5D成本管理；按题目要求中指定的数据提取及保存的准确性进行评分，如果提取及保存的相关数据与标准答案的误差在2%以内，该项得分为满分；误差在5%范围内，2%-5%区间得分线性分布；误差在5%以外，则该项不得分。</w:t>
      </w:r>
    </w:p>
    <w:p>
      <w:pPr>
        <w:widowControl/>
        <w:numPr>
          <w:ilvl w:val="0"/>
          <w:numId w:val="10"/>
        </w:numPr>
        <w:spacing w:line="360" w:lineRule="auto"/>
        <w:ind w:left="0" w:firstLine="567"/>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B</w:t>
      </w:r>
      <w:r>
        <w:rPr>
          <w:rFonts w:asciiTheme="minorEastAsia" w:hAnsiTheme="minorEastAsia" w:eastAsiaTheme="minorEastAsia" w:cstheme="minorEastAsia"/>
          <w:sz w:val="30"/>
          <w:szCs w:val="30"/>
          <w:lang w:eastAsia="zh-CN"/>
        </w:rPr>
        <w:t>IM</w:t>
      </w:r>
      <w:r>
        <w:rPr>
          <w:rFonts w:hint="eastAsia" w:asciiTheme="minorEastAsia" w:hAnsiTheme="minorEastAsia" w:eastAsiaTheme="minorEastAsia" w:cstheme="minorEastAsia"/>
          <w:sz w:val="30"/>
          <w:szCs w:val="30"/>
          <w:lang w:eastAsia="zh-CN"/>
        </w:rPr>
        <w:t>招投标</w:t>
      </w:r>
      <w:r>
        <w:rPr>
          <w:rFonts w:asciiTheme="minorEastAsia" w:hAnsiTheme="minorEastAsia" w:eastAsiaTheme="minorEastAsia" w:cstheme="minorEastAsia"/>
          <w:sz w:val="30"/>
          <w:szCs w:val="30"/>
          <w:lang w:eastAsia="zh-CN"/>
        </w:rPr>
        <w:t>管理</w:t>
      </w:r>
      <w:r>
        <w:rPr>
          <w:rFonts w:hint="eastAsia" w:asciiTheme="minorEastAsia" w:hAnsiTheme="minorEastAsia" w:eastAsiaTheme="minorEastAsia" w:cstheme="minorEastAsia"/>
          <w:sz w:val="30"/>
          <w:szCs w:val="30"/>
          <w:lang w:eastAsia="zh-CN"/>
        </w:rPr>
        <w:t>：</w:t>
      </w:r>
    </w:p>
    <w:p>
      <w:pPr>
        <w:widowControl/>
        <w:spacing w:line="360" w:lineRule="auto"/>
        <w:ind w:firstLine="600" w:firstLineChars="200"/>
        <w:jc w:val="both"/>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招标策划：结合招标工程信息资料，根据招标条件和招标方式、招标计划的准确性评判；</w:t>
      </w:r>
    </w:p>
    <w:p>
      <w:pPr>
        <w:widowControl/>
        <w:spacing w:line="360" w:lineRule="auto"/>
        <w:ind w:firstLine="600" w:firstLineChars="200"/>
        <w:jc w:val="both"/>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招标文件：结合招标工程信息资料，根据招标文件填写内容的完整性及准确性评判。</w:t>
      </w:r>
    </w:p>
    <w:p>
      <w:pPr>
        <w:widowControl/>
        <w:numPr>
          <w:ilvl w:val="0"/>
          <w:numId w:val="9"/>
        </w:numPr>
        <w:spacing w:line="360" w:lineRule="auto"/>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总分</w:t>
      </w:r>
    </w:p>
    <w:p>
      <w:pPr>
        <w:spacing w:line="360" w:lineRule="auto"/>
        <w:ind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总分满分为100分，具体总分组成如下：</w:t>
      </w:r>
    </w:p>
    <w:p>
      <w:pPr>
        <w:spacing w:line="360" w:lineRule="auto"/>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总分=投资估算与招标策划×10%+建筑与装饰工程量计算×20%+水电安装工程量计算×20%+建筑工程清单计价×10%+招标文件编制×10%+BIM5D成本管理×20%+项目结算与审核×10%。</w:t>
      </w:r>
    </w:p>
    <w:p>
      <w:pPr>
        <w:spacing w:line="360" w:lineRule="auto"/>
        <w:ind w:firstLine="600" w:firstLineChars="200"/>
        <w:rPr>
          <w:rFonts w:hint="eastAsia" w:asciiTheme="minorEastAsia" w:hAnsiTheme="minorEastAsia" w:eastAsiaTheme="minorEastAsia" w:cstheme="minorEastAsia"/>
          <w:sz w:val="30"/>
          <w:szCs w:val="30"/>
          <w:lang w:eastAsia="zh-CN"/>
        </w:rPr>
      </w:pPr>
    </w:p>
    <w:p>
      <w:pPr>
        <w:pStyle w:val="8"/>
        <w:numPr>
          <w:ilvl w:val="0"/>
          <w:numId w:val="1"/>
        </w:numPr>
        <w:spacing w:before="240" w:after="60"/>
        <w:ind w:hanging="137"/>
        <w:jc w:val="left"/>
        <w:outlineLvl w:val="1"/>
        <w:rPr>
          <w:rFonts w:ascii="微软雅黑" w:hAnsi="微软雅黑" w:eastAsia="微软雅黑" w:cs="微软雅黑"/>
          <w:sz w:val="28"/>
          <w:szCs w:val="28"/>
        </w:rPr>
      </w:pPr>
      <w:r>
        <w:rPr>
          <w:rFonts w:hint="eastAsia" w:ascii="微软雅黑" w:hAnsi="微软雅黑" w:eastAsia="微软雅黑" w:cs="微软雅黑"/>
          <w:sz w:val="28"/>
          <w:szCs w:val="28"/>
        </w:rPr>
        <w:t>竞赛奖项</w:t>
      </w:r>
    </w:p>
    <w:p>
      <w:pPr>
        <w:pStyle w:val="15"/>
        <w:tabs>
          <w:tab w:val="left" w:pos="1320"/>
        </w:tabs>
        <w:spacing w:line="360" w:lineRule="auto"/>
        <w:ind w:left="0" w:firstLine="600" w:firstLineChars="200"/>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1.竞赛按照本科组和专科组分别设置奖项，中职院校按照专科组进行评奖。</w:t>
      </w:r>
    </w:p>
    <w:p>
      <w:pPr>
        <w:spacing w:line="360" w:lineRule="auto"/>
        <w:ind w:firstLine="600" w:firstLineChars="200"/>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0"/>
          <w:szCs w:val="30"/>
          <w:lang w:eastAsia="zh-CN"/>
        </w:rPr>
        <w:t>2.竞赛设立团体奖和专项奖，由组委会颁发获奖证书和奖品。获一等奖团队的指导教师由组委会颁发优秀指导教师证书，在大赛组织工作表现突出</w:t>
      </w:r>
      <w:r>
        <w:rPr>
          <w:rFonts w:hint="eastAsia" w:asciiTheme="minorEastAsia" w:hAnsiTheme="minorEastAsia" w:eastAsiaTheme="minorEastAsia" w:cstheme="minorEastAsia"/>
          <w:sz w:val="32"/>
          <w:szCs w:val="32"/>
          <w:lang w:eastAsia="zh-CN"/>
        </w:rPr>
        <w:t>、成绩优异的单位，组委会将颁发“优秀组织奖”。</w:t>
      </w:r>
    </w:p>
    <w:p>
      <w:pPr>
        <w:tabs>
          <w:tab w:val="left" w:pos="1100"/>
        </w:tabs>
        <w:rPr>
          <w:rFonts w:asciiTheme="minorEastAsia" w:hAnsiTheme="minorEastAsia" w:eastAsiaTheme="minorEastAsia" w:cstheme="minorEastAsia"/>
          <w:sz w:val="30"/>
          <w:szCs w:val="30"/>
          <w:lang w:eastAsia="zh-CN"/>
        </w:rPr>
      </w:pPr>
    </w:p>
    <w:p>
      <w:pPr>
        <w:spacing w:line="360" w:lineRule="auto"/>
        <w:rPr>
          <w:rFonts w:asciiTheme="minorEastAsia" w:hAnsiTheme="minorEastAsia" w:eastAsiaTheme="minorEastAsia" w:cstheme="minorEastAsia"/>
          <w:b/>
          <w:bCs/>
          <w:color w:val="auto"/>
          <w:kern w:val="2"/>
          <w:sz w:val="30"/>
          <w:szCs w:val="30"/>
          <w:highlight w:val="none"/>
          <w:lang w:eastAsia="zh-CN"/>
        </w:rPr>
      </w:pPr>
      <w:r>
        <w:rPr>
          <w:rFonts w:hint="eastAsia" w:asciiTheme="minorEastAsia" w:hAnsiTheme="minorEastAsia" w:eastAsiaTheme="minorEastAsia" w:cstheme="minorEastAsia"/>
          <w:b/>
          <w:bCs/>
          <w:color w:val="auto"/>
          <w:kern w:val="2"/>
          <w:sz w:val="30"/>
          <w:szCs w:val="30"/>
          <w:highlight w:val="none"/>
          <w:lang w:eastAsia="zh-CN"/>
        </w:rPr>
        <w:t>各个组别奖项设置如下:</w:t>
      </w:r>
    </w:p>
    <w:tbl>
      <w:tblPr>
        <w:tblStyle w:val="9"/>
        <w:tblW w:w="9322" w:type="dxa"/>
        <w:tblInd w:w="0" w:type="dxa"/>
        <w:tblLayout w:type="fixed"/>
        <w:tblCellMar>
          <w:top w:w="0" w:type="dxa"/>
          <w:left w:w="108" w:type="dxa"/>
          <w:bottom w:w="0" w:type="dxa"/>
          <w:right w:w="108" w:type="dxa"/>
        </w:tblCellMar>
      </w:tblPr>
      <w:tblGrid>
        <w:gridCol w:w="1100"/>
        <w:gridCol w:w="1844"/>
        <w:gridCol w:w="2696"/>
        <w:gridCol w:w="1419"/>
        <w:gridCol w:w="2263"/>
      </w:tblGrid>
      <w:tr>
        <w:tblPrEx>
          <w:tblLayout w:type="fixed"/>
          <w:tblCellMar>
            <w:top w:w="0" w:type="dxa"/>
            <w:left w:w="108" w:type="dxa"/>
            <w:bottom w:w="0" w:type="dxa"/>
            <w:right w:w="108" w:type="dxa"/>
          </w:tblCellMar>
        </w:tblPrEx>
        <w:trPr>
          <w:trHeight w:val="495"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奖项</w:t>
            </w:r>
          </w:p>
        </w:tc>
        <w:tc>
          <w:tcPr>
            <w:tcW w:w="184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专项</w:t>
            </w:r>
          </w:p>
        </w:tc>
        <w:tc>
          <w:tcPr>
            <w:tcW w:w="269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包含子项</w:t>
            </w: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奖项设置</w:t>
            </w:r>
          </w:p>
        </w:tc>
        <w:tc>
          <w:tcPr>
            <w:tcW w:w="226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奖励</w:t>
            </w:r>
          </w:p>
        </w:tc>
      </w:tr>
      <w:tr>
        <w:tblPrEx>
          <w:tblLayout w:type="fixed"/>
          <w:tblCellMar>
            <w:top w:w="0" w:type="dxa"/>
            <w:left w:w="108" w:type="dxa"/>
            <w:bottom w:w="0" w:type="dxa"/>
            <w:right w:w="108" w:type="dxa"/>
          </w:tblCellMar>
        </w:tblPrEx>
        <w:trPr>
          <w:trHeight w:val="795"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仿宋" w:hAnsi="仿宋" w:eastAsia="仿宋"/>
                <w:b/>
                <w:bCs/>
                <w:color w:val="auto"/>
                <w:sz w:val="24"/>
                <w:szCs w:val="24"/>
                <w:lang w:eastAsia="zh-CN"/>
              </w:rPr>
            </w:pPr>
            <w:r>
              <w:rPr>
                <w:rFonts w:hint="eastAsia" w:ascii="仿宋" w:hAnsi="仿宋" w:eastAsia="仿宋"/>
                <w:b/>
                <w:bCs/>
                <w:color w:val="auto"/>
                <w:sz w:val="24"/>
                <w:szCs w:val="24"/>
                <w:lang w:eastAsia="zh-CN"/>
              </w:rPr>
              <w:t>专项奖</w:t>
            </w:r>
          </w:p>
        </w:tc>
        <w:tc>
          <w:tcPr>
            <w:tcW w:w="184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全过程计量</w:t>
            </w:r>
          </w:p>
        </w:tc>
        <w:tc>
          <w:tcPr>
            <w:tcW w:w="269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建筑与装饰工程量计算</w:t>
            </w:r>
            <w:r>
              <w:rPr>
                <w:rFonts w:hint="eastAsia" w:ascii="仿宋" w:hAnsi="仿宋" w:eastAsia="仿宋"/>
                <w:color w:val="auto"/>
                <w:sz w:val="24"/>
                <w:szCs w:val="24"/>
                <w:lang w:eastAsia="zh-CN"/>
              </w:rPr>
              <w:br w:type="textWrapping"/>
            </w:r>
            <w:r>
              <w:rPr>
                <w:rFonts w:hint="eastAsia" w:ascii="仿宋" w:hAnsi="仿宋" w:eastAsia="仿宋"/>
                <w:color w:val="auto"/>
                <w:sz w:val="24"/>
                <w:szCs w:val="24"/>
                <w:lang w:eastAsia="zh-CN"/>
              </w:rPr>
              <w:t>水电安装工程量计算</w:t>
            </w:r>
          </w:p>
        </w:tc>
        <w:tc>
          <w:tcPr>
            <w:tcW w:w="141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auto"/>
                <w:sz w:val="24"/>
                <w:szCs w:val="24"/>
                <w:lang w:eastAsia="zh-CN"/>
              </w:rPr>
            </w:pPr>
            <w:r>
              <w:rPr>
                <w:rFonts w:hint="eastAsia" w:ascii="仿宋" w:hAnsi="仿宋" w:eastAsia="仿宋"/>
                <w:color w:val="auto"/>
                <w:sz w:val="24"/>
                <w:szCs w:val="24"/>
                <w:lang w:eastAsia="zh-CN"/>
              </w:rPr>
              <w:t>一等奖</w:t>
            </w:r>
          </w:p>
        </w:tc>
        <w:tc>
          <w:tcPr>
            <w:tcW w:w="2263"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奖杯+证书+奖金卡（价值500元）</w:t>
            </w:r>
          </w:p>
        </w:tc>
      </w:tr>
      <w:tr>
        <w:tblPrEx>
          <w:tblLayout w:type="fixed"/>
          <w:tblCellMar>
            <w:top w:w="0" w:type="dxa"/>
            <w:left w:w="108" w:type="dxa"/>
            <w:bottom w:w="0" w:type="dxa"/>
            <w:right w:w="108" w:type="dxa"/>
          </w:tblCellMar>
        </w:tblPrEx>
        <w:trPr>
          <w:trHeight w:val="795"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auto"/>
                <w:sz w:val="24"/>
                <w:szCs w:val="24"/>
                <w:lang w:eastAsia="zh-CN"/>
              </w:rPr>
            </w:pPr>
          </w:p>
        </w:tc>
        <w:tc>
          <w:tcPr>
            <w:tcW w:w="184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全过程计价</w:t>
            </w:r>
          </w:p>
        </w:tc>
        <w:tc>
          <w:tcPr>
            <w:tcW w:w="269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建筑工程清单计价</w:t>
            </w:r>
            <w:r>
              <w:rPr>
                <w:rFonts w:hint="eastAsia" w:ascii="仿宋" w:hAnsi="仿宋" w:eastAsia="仿宋"/>
                <w:color w:val="auto"/>
                <w:sz w:val="24"/>
                <w:szCs w:val="24"/>
                <w:lang w:eastAsia="zh-CN"/>
              </w:rPr>
              <w:br w:type="textWrapping"/>
            </w:r>
            <w:r>
              <w:rPr>
                <w:rFonts w:hint="eastAsia" w:ascii="仿宋" w:hAnsi="仿宋" w:eastAsia="仿宋"/>
                <w:color w:val="auto"/>
                <w:sz w:val="24"/>
                <w:szCs w:val="24"/>
                <w:lang w:eastAsia="zh-CN"/>
              </w:rPr>
              <w:t>项目结算与审核</w:t>
            </w:r>
          </w:p>
        </w:tc>
        <w:tc>
          <w:tcPr>
            <w:tcW w:w="141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auto"/>
                <w:sz w:val="24"/>
                <w:szCs w:val="24"/>
                <w:lang w:eastAsia="zh-CN"/>
              </w:rPr>
            </w:pPr>
            <w:r>
              <w:rPr>
                <w:rFonts w:hint="eastAsia" w:ascii="仿宋" w:hAnsi="仿宋" w:eastAsia="仿宋"/>
                <w:color w:val="auto"/>
                <w:sz w:val="24"/>
                <w:szCs w:val="24"/>
                <w:lang w:eastAsia="zh-CN"/>
              </w:rPr>
              <w:t>一等奖</w:t>
            </w:r>
          </w:p>
        </w:tc>
        <w:tc>
          <w:tcPr>
            <w:tcW w:w="2263"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奖杯+证书+奖金卡（价值500元）</w:t>
            </w:r>
          </w:p>
        </w:tc>
      </w:tr>
      <w:tr>
        <w:tblPrEx>
          <w:tblLayout w:type="fixed"/>
          <w:tblCellMar>
            <w:top w:w="0" w:type="dxa"/>
            <w:left w:w="108" w:type="dxa"/>
            <w:bottom w:w="0" w:type="dxa"/>
            <w:right w:w="108" w:type="dxa"/>
          </w:tblCellMar>
        </w:tblPrEx>
        <w:trPr>
          <w:trHeight w:val="795"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auto"/>
                <w:sz w:val="24"/>
                <w:szCs w:val="24"/>
                <w:lang w:eastAsia="zh-CN"/>
              </w:rPr>
            </w:pPr>
          </w:p>
        </w:tc>
        <w:tc>
          <w:tcPr>
            <w:tcW w:w="184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BIM5D成本管理</w:t>
            </w:r>
          </w:p>
        </w:tc>
        <w:tc>
          <w:tcPr>
            <w:tcW w:w="269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BIM5D成本管理</w:t>
            </w:r>
          </w:p>
        </w:tc>
        <w:tc>
          <w:tcPr>
            <w:tcW w:w="141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auto"/>
                <w:sz w:val="24"/>
                <w:szCs w:val="24"/>
                <w:lang w:eastAsia="zh-CN"/>
              </w:rPr>
            </w:pPr>
            <w:r>
              <w:rPr>
                <w:rFonts w:hint="eastAsia" w:ascii="仿宋" w:hAnsi="仿宋" w:eastAsia="仿宋"/>
                <w:color w:val="auto"/>
                <w:sz w:val="24"/>
                <w:szCs w:val="24"/>
                <w:lang w:eastAsia="zh-CN"/>
              </w:rPr>
              <w:t>一等奖</w:t>
            </w:r>
          </w:p>
        </w:tc>
        <w:tc>
          <w:tcPr>
            <w:tcW w:w="2263"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奖杯+证书+奖金卡（价值500元）</w:t>
            </w:r>
          </w:p>
        </w:tc>
      </w:tr>
      <w:tr>
        <w:tblPrEx>
          <w:tblLayout w:type="fixed"/>
          <w:tblCellMar>
            <w:top w:w="0" w:type="dxa"/>
            <w:left w:w="108" w:type="dxa"/>
            <w:bottom w:w="0" w:type="dxa"/>
            <w:right w:w="108" w:type="dxa"/>
          </w:tblCellMar>
        </w:tblPrEx>
        <w:trPr>
          <w:trHeight w:val="795"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b/>
                <w:bCs/>
                <w:color w:val="auto"/>
                <w:sz w:val="24"/>
                <w:szCs w:val="24"/>
                <w:lang w:eastAsia="zh-CN"/>
              </w:rPr>
            </w:pPr>
          </w:p>
        </w:tc>
        <w:tc>
          <w:tcPr>
            <w:tcW w:w="184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BIM招投标管理</w:t>
            </w:r>
          </w:p>
        </w:tc>
        <w:tc>
          <w:tcPr>
            <w:tcW w:w="269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投资估算与招标策划</w:t>
            </w:r>
            <w:r>
              <w:rPr>
                <w:rFonts w:hint="eastAsia" w:ascii="仿宋" w:hAnsi="仿宋" w:eastAsia="仿宋"/>
                <w:color w:val="auto"/>
                <w:sz w:val="24"/>
                <w:szCs w:val="24"/>
                <w:lang w:eastAsia="zh-CN"/>
              </w:rPr>
              <w:br w:type="textWrapping"/>
            </w:r>
            <w:r>
              <w:rPr>
                <w:rFonts w:hint="eastAsia" w:ascii="仿宋" w:hAnsi="仿宋" w:eastAsia="仿宋"/>
                <w:color w:val="auto"/>
                <w:sz w:val="24"/>
                <w:szCs w:val="24"/>
                <w:lang w:eastAsia="zh-CN"/>
              </w:rPr>
              <w:t>招标文件编制</w:t>
            </w:r>
          </w:p>
        </w:tc>
        <w:tc>
          <w:tcPr>
            <w:tcW w:w="141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auto"/>
                <w:sz w:val="24"/>
                <w:szCs w:val="24"/>
                <w:lang w:eastAsia="zh-CN"/>
              </w:rPr>
            </w:pPr>
            <w:r>
              <w:rPr>
                <w:rFonts w:hint="eastAsia" w:ascii="仿宋" w:hAnsi="仿宋" w:eastAsia="仿宋"/>
                <w:color w:val="auto"/>
                <w:sz w:val="24"/>
                <w:szCs w:val="24"/>
                <w:lang w:eastAsia="zh-CN"/>
              </w:rPr>
              <w:t>一等奖</w:t>
            </w:r>
          </w:p>
        </w:tc>
        <w:tc>
          <w:tcPr>
            <w:tcW w:w="2263"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奖杯+证书+奖金卡（价值500元）</w:t>
            </w:r>
          </w:p>
        </w:tc>
      </w:tr>
      <w:tr>
        <w:tblPrEx>
          <w:tblLayout w:type="fixed"/>
          <w:tblCellMar>
            <w:top w:w="0" w:type="dxa"/>
            <w:left w:w="108" w:type="dxa"/>
            <w:bottom w:w="0" w:type="dxa"/>
            <w:right w:w="108" w:type="dxa"/>
          </w:tblCellMar>
        </w:tblPrEx>
        <w:trPr>
          <w:trHeight w:val="795" w:hRule="atLeast"/>
        </w:trPr>
        <w:tc>
          <w:tcPr>
            <w:tcW w:w="564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utoSpaceDE/>
              <w:autoSpaceDN/>
              <w:jc w:val="center"/>
              <w:rPr>
                <w:rFonts w:ascii="仿宋" w:hAnsi="仿宋" w:eastAsia="仿宋"/>
                <w:b/>
                <w:bCs/>
                <w:color w:val="auto"/>
                <w:sz w:val="24"/>
                <w:szCs w:val="24"/>
                <w:lang w:eastAsia="zh-CN"/>
              </w:rPr>
            </w:pPr>
            <w:r>
              <w:rPr>
                <w:rFonts w:hint="eastAsia" w:ascii="仿宋" w:hAnsi="仿宋" w:eastAsia="仿宋"/>
                <w:b/>
                <w:bCs/>
                <w:color w:val="auto"/>
                <w:sz w:val="24"/>
                <w:szCs w:val="24"/>
                <w:lang w:eastAsia="zh-CN"/>
              </w:rPr>
              <w:t>团队奖</w:t>
            </w:r>
          </w:p>
        </w:tc>
        <w:tc>
          <w:tcPr>
            <w:tcW w:w="141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auto"/>
                <w:sz w:val="24"/>
                <w:szCs w:val="24"/>
                <w:lang w:eastAsia="zh-CN"/>
              </w:rPr>
            </w:pPr>
            <w:r>
              <w:rPr>
                <w:rFonts w:hint="eastAsia" w:ascii="仿宋" w:hAnsi="仿宋" w:eastAsia="仿宋"/>
                <w:color w:val="auto"/>
                <w:sz w:val="24"/>
                <w:szCs w:val="24"/>
                <w:lang w:eastAsia="zh-CN"/>
              </w:rPr>
              <w:t>一等奖</w:t>
            </w:r>
          </w:p>
        </w:tc>
        <w:tc>
          <w:tcPr>
            <w:tcW w:w="2263"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奖杯+证书+奖金卡（价值2000元）</w:t>
            </w:r>
          </w:p>
        </w:tc>
      </w:tr>
      <w:tr>
        <w:tblPrEx>
          <w:tblLayout w:type="fixed"/>
          <w:tblCellMar>
            <w:top w:w="0" w:type="dxa"/>
            <w:left w:w="108" w:type="dxa"/>
            <w:bottom w:w="0" w:type="dxa"/>
            <w:right w:w="108" w:type="dxa"/>
          </w:tblCellMar>
        </w:tblPrEx>
        <w:trPr>
          <w:trHeight w:val="795" w:hRule="atLeast"/>
        </w:trPr>
        <w:tc>
          <w:tcPr>
            <w:tcW w:w="564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autoSpaceDE/>
              <w:autoSpaceDN/>
              <w:rPr>
                <w:rFonts w:ascii="仿宋" w:hAnsi="仿宋" w:eastAsia="仿宋"/>
                <w:b/>
                <w:bCs/>
                <w:color w:val="auto"/>
                <w:sz w:val="24"/>
                <w:szCs w:val="24"/>
                <w:lang w:eastAsia="zh-CN"/>
              </w:rPr>
            </w:pPr>
          </w:p>
        </w:tc>
        <w:tc>
          <w:tcPr>
            <w:tcW w:w="141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auto"/>
                <w:sz w:val="24"/>
                <w:szCs w:val="24"/>
                <w:lang w:eastAsia="zh-CN"/>
              </w:rPr>
            </w:pPr>
            <w:r>
              <w:rPr>
                <w:rFonts w:hint="eastAsia" w:ascii="仿宋" w:hAnsi="仿宋" w:eastAsia="仿宋"/>
                <w:color w:val="auto"/>
                <w:sz w:val="24"/>
                <w:szCs w:val="24"/>
                <w:lang w:eastAsia="zh-CN"/>
              </w:rPr>
              <w:t>二等奖</w:t>
            </w:r>
          </w:p>
        </w:tc>
        <w:tc>
          <w:tcPr>
            <w:tcW w:w="2263"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auto"/>
                <w:sz w:val="24"/>
                <w:szCs w:val="24"/>
                <w:lang w:eastAsia="zh-CN"/>
              </w:rPr>
            </w:pPr>
            <w:r>
              <w:rPr>
                <w:rFonts w:hint="eastAsia" w:ascii="仿宋" w:hAnsi="仿宋" w:eastAsia="仿宋"/>
                <w:color w:val="auto"/>
                <w:sz w:val="24"/>
                <w:szCs w:val="24"/>
                <w:lang w:eastAsia="zh-CN"/>
              </w:rPr>
              <w:t>证书+奖金卡（价值500元）</w:t>
            </w:r>
          </w:p>
        </w:tc>
      </w:tr>
      <w:tr>
        <w:tblPrEx>
          <w:tblLayout w:type="fixed"/>
          <w:tblCellMar>
            <w:top w:w="0" w:type="dxa"/>
            <w:left w:w="108" w:type="dxa"/>
            <w:bottom w:w="0" w:type="dxa"/>
            <w:right w:w="108" w:type="dxa"/>
          </w:tblCellMar>
        </w:tblPrEx>
        <w:trPr>
          <w:trHeight w:val="675" w:hRule="atLeast"/>
        </w:trPr>
        <w:tc>
          <w:tcPr>
            <w:tcW w:w="564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autoSpaceDE/>
              <w:autoSpaceDN/>
              <w:rPr>
                <w:rFonts w:ascii="仿宋" w:hAnsi="仿宋" w:eastAsia="仿宋"/>
                <w:b/>
                <w:bCs/>
                <w:color w:val="auto"/>
                <w:sz w:val="24"/>
                <w:szCs w:val="24"/>
                <w:lang w:eastAsia="zh-CN"/>
              </w:rPr>
            </w:pPr>
          </w:p>
        </w:tc>
        <w:tc>
          <w:tcPr>
            <w:tcW w:w="141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auto"/>
                <w:sz w:val="24"/>
                <w:szCs w:val="24"/>
                <w:lang w:eastAsia="zh-CN"/>
              </w:rPr>
            </w:pPr>
            <w:r>
              <w:rPr>
                <w:rFonts w:hint="eastAsia" w:ascii="仿宋" w:hAnsi="仿宋" w:eastAsia="仿宋"/>
                <w:color w:val="auto"/>
                <w:sz w:val="24"/>
                <w:szCs w:val="24"/>
                <w:lang w:eastAsia="zh-CN"/>
              </w:rPr>
              <w:t>三等奖</w:t>
            </w:r>
          </w:p>
        </w:tc>
        <w:tc>
          <w:tcPr>
            <w:tcW w:w="226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olor w:val="auto"/>
                <w:sz w:val="24"/>
                <w:szCs w:val="24"/>
                <w:lang w:eastAsia="zh-CN"/>
              </w:rPr>
            </w:pPr>
            <w:r>
              <w:rPr>
                <w:rFonts w:hint="eastAsia" w:ascii="仿宋" w:hAnsi="仿宋" w:eastAsia="仿宋"/>
                <w:color w:val="auto"/>
                <w:sz w:val="24"/>
                <w:szCs w:val="24"/>
                <w:lang w:eastAsia="zh-CN"/>
              </w:rPr>
              <w:t>证书</w:t>
            </w:r>
          </w:p>
        </w:tc>
      </w:tr>
    </w:tbl>
    <w:p>
      <w:pPr>
        <w:pStyle w:val="8"/>
        <w:numPr>
          <w:ilvl w:val="0"/>
          <w:numId w:val="1"/>
        </w:numPr>
        <w:spacing w:before="240" w:after="60"/>
        <w:ind w:hanging="137"/>
        <w:jc w:val="left"/>
        <w:outlineLvl w:val="1"/>
        <w:rPr>
          <w:rFonts w:ascii="微软雅黑" w:hAnsi="微软雅黑" w:eastAsia="微软雅黑" w:cs="微软雅黑"/>
          <w:sz w:val="28"/>
          <w:szCs w:val="28"/>
        </w:rPr>
      </w:pPr>
      <w:r>
        <w:rPr>
          <w:rFonts w:hint="eastAsia" w:ascii="微软雅黑" w:hAnsi="微软雅黑" w:eastAsia="微软雅黑" w:cs="微软雅黑"/>
          <w:color w:val="auto"/>
          <w:sz w:val="28"/>
          <w:szCs w:val="28"/>
        </w:rPr>
        <w:t>培训答疑</w:t>
      </w:r>
    </w:p>
    <w:p>
      <w:pPr>
        <w:widowControl/>
        <w:numPr>
          <w:ilvl w:val="0"/>
          <w:numId w:val="11"/>
        </w:numPr>
        <w:spacing w:line="360" w:lineRule="auto"/>
        <w:ind w:left="0" w:firstLine="56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在线学习</w:t>
      </w:r>
    </w:p>
    <w:p>
      <w:pPr>
        <w:pStyle w:val="15"/>
        <w:widowControl/>
        <w:numPr>
          <w:ilvl w:val="0"/>
          <w:numId w:val="12"/>
        </w:numPr>
        <w:spacing w:line="360" w:lineRule="auto"/>
        <w:ind w:left="0" w:firstLine="56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参赛学生可以登录大赛官网</w:t>
      </w:r>
      <w:r>
        <w:fldChar w:fldCharType="begin"/>
      </w:r>
      <w:r>
        <w:instrText xml:space="preserve"> HYPERLINK "http://bisai.ccen.com.cn" \h </w:instrText>
      </w:r>
      <w:r>
        <w:fldChar w:fldCharType="separate"/>
      </w:r>
      <w:r>
        <w:rPr>
          <w:rStyle w:val="13"/>
          <w:rFonts w:hint="eastAsia" w:asciiTheme="minorEastAsia" w:hAnsiTheme="minorEastAsia" w:eastAsiaTheme="minorEastAsia" w:cstheme="minorEastAsia"/>
          <w:sz w:val="30"/>
          <w:szCs w:val="30"/>
        </w:rPr>
        <w:t>http://bisai.ccen.com.cn</w:t>
      </w:r>
      <w:r>
        <w:rPr>
          <w:rStyle w:val="13"/>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，在线学习大赛相关课程；</w:t>
      </w:r>
    </w:p>
    <w:p>
      <w:pPr>
        <w:pStyle w:val="15"/>
        <w:widowControl/>
        <w:numPr>
          <w:ilvl w:val="0"/>
          <w:numId w:val="12"/>
        </w:numPr>
        <w:spacing w:line="360" w:lineRule="auto"/>
        <w:ind w:left="0" w:firstLine="560"/>
        <w:rPr>
          <w:rFonts w:asciiTheme="minorEastAsia" w:hAnsiTheme="minorEastAsia" w:eastAsiaTheme="minorEastAsia" w:cstheme="minorEastAsia"/>
          <w:b/>
          <w:bCs/>
          <w:sz w:val="30"/>
          <w:szCs w:val="30"/>
          <w:highlight w:val="green"/>
          <w:lang w:eastAsia="zh-CN"/>
        </w:rPr>
      </w:pPr>
      <w:r>
        <w:rPr>
          <w:rFonts w:hint="eastAsia" w:asciiTheme="minorEastAsia" w:hAnsiTheme="minorEastAsia" w:eastAsiaTheme="minorEastAsia" w:cstheme="minorEastAsia"/>
          <w:sz w:val="30"/>
          <w:szCs w:val="30"/>
          <w:lang w:eastAsia="zh-CN"/>
        </w:rPr>
        <w:t>参赛学生可以通过手机在应用商店下载“建筑云课”学生端App，在手机端学习大赛相关课程。</w:t>
      </w:r>
    </w:p>
    <w:p>
      <w:pPr>
        <w:widowControl/>
        <w:numPr>
          <w:ilvl w:val="0"/>
          <w:numId w:val="11"/>
        </w:numPr>
        <w:spacing w:line="360" w:lineRule="auto"/>
        <w:ind w:left="0" w:firstLine="56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师资培训</w:t>
      </w:r>
    </w:p>
    <w:p>
      <w:pPr>
        <w:spacing w:line="360" w:lineRule="auto"/>
        <w:ind w:firstLine="567"/>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大赛组委会将于2019年7月下旬和8月上旬举办全国暑期师资培训班，届时将对考试大纲进行详细讲解，模拟总决赛考试模式对软件操作和比赛内容进行深度培训，培训通知计划于2019年5月底发布，请参赛老师及时关注大赛官网，进行在线报名。</w:t>
      </w:r>
    </w:p>
    <w:p>
      <w:pPr>
        <w:widowControl/>
        <w:numPr>
          <w:ilvl w:val="0"/>
          <w:numId w:val="11"/>
        </w:numPr>
        <w:tabs>
          <w:tab w:val="left" w:pos="709"/>
        </w:tabs>
        <w:spacing w:line="360" w:lineRule="auto"/>
        <w:ind w:left="0" w:firstLine="56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大赛答疑</w:t>
      </w:r>
    </w:p>
    <w:p>
      <w:pPr>
        <w:widowControl/>
        <w:numPr>
          <w:ilvl w:val="0"/>
          <w:numId w:val="13"/>
        </w:numPr>
        <w:spacing w:line="360" w:lineRule="auto"/>
        <w:ind w:left="0" w:firstLine="56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交流答疑群</w:t>
      </w:r>
    </w:p>
    <w:p>
      <w:pPr>
        <w:spacing w:line="360" w:lineRule="auto"/>
        <w:ind w:firstLine="567"/>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大赛组委会安排专人负责交流答疑群的日常问题答疑及收集归纳，指导教师请加入2019年BIM全过程造价管理大赛教师群（群号: 498222243），参赛学生请加入2019年BIM全过程造价管理大赛学生群（qq:</w:t>
      </w:r>
      <w:r>
        <w:rPr>
          <w:rFonts w:hint="eastAsia" w:asciiTheme="minorEastAsia" w:hAnsiTheme="minorEastAsia" w:eastAsiaTheme="minorEastAsia" w:cstheme="minorEastAsia"/>
          <w:sz w:val="30"/>
          <w:szCs w:val="30"/>
          <w:lang w:val="en-US" w:eastAsia="zh-CN"/>
        </w:rPr>
        <w:t>808952094</w:t>
      </w:r>
      <w:r>
        <w:rPr>
          <w:rFonts w:hint="eastAsia" w:asciiTheme="minorEastAsia" w:hAnsiTheme="minorEastAsia" w:eastAsiaTheme="minorEastAsia" w:cstheme="minorEastAsia"/>
          <w:sz w:val="30"/>
          <w:szCs w:val="30"/>
          <w:lang w:eastAsia="zh-CN"/>
        </w:rPr>
        <w:t>)。</w:t>
      </w:r>
    </w:p>
    <w:p>
      <w:pPr>
        <w:widowControl/>
        <w:numPr>
          <w:ilvl w:val="0"/>
          <w:numId w:val="13"/>
        </w:numPr>
        <w:spacing w:line="360" w:lineRule="auto"/>
        <w:ind w:left="0" w:firstLine="56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直播或录播课</w:t>
      </w:r>
    </w:p>
    <w:p>
      <w:pPr>
        <w:spacing w:line="360" w:lineRule="auto"/>
        <w:ind w:firstLine="567"/>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大赛组委会将不定期安排直播课或录播课，进行在线答疑，</w:t>
      </w:r>
      <w:r>
        <w:rPr>
          <w:rFonts w:asciiTheme="minorEastAsia" w:hAnsiTheme="minorEastAsia" w:eastAsiaTheme="minorEastAsia" w:cstheme="minorEastAsia"/>
          <w:sz w:val="30"/>
          <w:szCs w:val="30"/>
          <w:lang w:eastAsia="zh-CN"/>
        </w:rPr>
        <w:t>具体答疑时间安排以</w:t>
      </w:r>
      <w:r>
        <w:rPr>
          <w:rFonts w:hint="eastAsia" w:asciiTheme="minorEastAsia" w:hAnsiTheme="minorEastAsia" w:eastAsiaTheme="minorEastAsia" w:cstheme="minorEastAsia"/>
          <w:sz w:val="30"/>
          <w:szCs w:val="30"/>
          <w:lang w:eastAsia="zh-CN"/>
        </w:rPr>
        <w:t>大赛</w:t>
      </w:r>
      <w:r>
        <w:rPr>
          <w:rFonts w:asciiTheme="minorEastAsia" w:hAnsiTheme="minorEastAsia" w:eastAsiaTheme="minorEastAsia" w:cstheme="minorEastAsia"/>
          <w:sz w:val="30"/>
          <w:szCs w:val="30"/>
          <w:lang w:eastAsia="zh-CN"/>
        </w:rPr>
        <w:t>官网</w:t>
      </w:r>
      <w:r>
        <w:rPr>
          <w:rFonts w:hint="eastAsia" w:asciiTheme="minorEastAsia" w:hAnsiTheme="minorEastAsia" w:eastAsiaTheme="minorEastAsia" w:cstheme="minorEastAsia"/>
          <w:sz w:val="30"/>
          <w:szCs w:val="30"/>
          <w:lang w:eastAsia="zh-CN"/>
        </w:rPr>
        <w:t>公布</w:t>
      </w:r>
      <w:r>
        <w:rPr>
          <w:rFonts w:asciiTheme="minorEastAsia" w:hAnsiTheme="minorEastAsia" w:eastAsiaTheme="minorEastAsia" w:cstheme="minorEastAsia"/>
          <w:sz w:val="30"/>
          <w:szCs w:val="30"/>
          <w:lang w:eastAsia="zh-CN"/>
        </w:rPr>
        <w:t>的</w:t>
      </w:r>
      <w:r>
        <w:rPr>
          <w:rFonts w:hint="eastAsia" w:asciiTheme="minorEastAsia" w:hAnsiTheme="minorEastAsia" w:eastAsiaTheme="minorEastAsia" w:cstheme="minorEastAsia"/>
          <w:sz w:val="30"/>
          <w:szCs w:val="30"/>
          <w:lang w:eastAsia="zh-CN"/>
        </w:rPr>
        <w:t>时间</w:t>
      </w:r>
      <w:r>
        <w:rPr>
          <w:rFonts w:asciiTheme="minorEastAsia" w:hAnsiTheme="minorEastAsia" w:eastAsiaTheme="minorEastAsia" w:cstheme="minorEastAsia"/>
          <w:sz w:val="30"/>
          <w:szCs w:val="30"/>
          <w:lang w:eastAsia="zh-CN"/>
        </w:rPr>
        <w:t>为准</w:t>
      </w:r>
      <w:r>
        <w:rPr>
          <w:rFonts w:hint="eastAsia" w:asciiTheme="minorEastAsia" w:hAnsiTheme="minorEastAsia" w:eastAsiaTheme="minorEastAsia" w:cstheme="minorEastAsia"/>
          <w:sz w:val="30"/>
          <w:szCs w:val="30"/>
          <w:lang w:eastAsia="zh-CN"/>
        </w:rPr>
        <w:t>。</w:t>
      </w:r>
    </w:p>
    <w:p>
      <w:pPr>
        <w:spacing w:line="381" w:lineRule="auto"/>
        <w:jc w:val="both"/>
        <w:rPr>
          <w:lang w:eastAsia="zh-CN"/>
        </w:rPr>
        <w:sectPr>
          <w:footerReference r:id="rId3" w:type="default"/>
          <w:pgSz w:w="11910" w:h="16840"/>
          <w:pgMar w:top="1480" w:right="1580" w:bottom="1180" w:left="1600" w:header="0" w:footer="993" w:gutter="0"/>
          <w:cols w:space="720" w:num="1"/>
        </w:sectPr>
      </w:pPr>
    </w:p>
    <w:p>
      <w:pPr>
        <w:pStyle w:val="5"/>
        <w:spacing w:before="57"/>
        <w:ind w:left="0" w:firstLine="440"/>
        <w:rPr>
          <w:lang w:eastAsia="zh-CN"/>
        </w:rPr>
      </w:pPr>
      <w:bookmarkStart w:id="1" w:name="_GoBack"/>
      <w:bookmarkEnd w:id="1"/>
    </w:p>
    <w:sectPr>
      <w:footerReference r:id="rId4" w:type="default"/>
      <w:pgSz w:w="11910" w:h="16840"/>
      <w:pgMar w:top="1480" w:right="1620" w:bottom="1180" w:left="160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1658240" behindDoc="1" locked="0" layoutInCell="1" allowOverlap="1">
              <wp:simplePos x="0" y="0"/>
              <wp:positionH relativeFrom="page">
                <wp:posOffset>3697605</wp:posOffset>
              </wp:positionH>
              <wp:positionV relativeFrom="page">
                <wp:posOffset>9921875</wp:posOffset>
              </wp:positionV>
              <wp:extent cx="166370" cy="1524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81.25pt;height:12pt;width:13.1pt;mso-position-horizontal-relative:page;mso-position-vertical-relative:page;z-index:-251658240;mso-width-relative:page;mso-height-relative:page;" filled="f" stroked="f" coordsize="21600,21600" o:gfxdata="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TjxVD2gAAAA0BAAAPAAAAAAAA&#10;AAEAIAAAACIAAABkcnMvZG93bnJldi54bWxQSwECFAAUAAAACACHTuJAW0Uf554BAAAjAwAADgAA&#10;AAAAAAABACAAAAApAQAAZHJzL2Uyb0RvYy54bWxQSwUGAAAAAAYABgBZAQAAO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1658240" behindDoc="1" locked="0" layoutInCell="1" allowOverlap="1">
              <wp:simplePos x="0" y="0"/>
              <wp:positionH relativeFrom="page">
                <wp:posOffset>3697605</wp:posOffset>
              </wp:positionH>
              <wp:positionV relativeFrom="page">
                <wp:posOffset>9921875</wp:posOffset>
              </wp:positionV>
              <wp:extent cx="166370" cy="1524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15pt;margin-top:781.25pt;height:12pt;width:13.1pt;mso-position-horizontal-relative:page;mso-position-vertical-relative:page;z-index:-251658240;mso-width-relative:page;mso-height-relative:page;" filled="f" stroked="f" coordsize="21600,21600" o:gfxdata="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OPFUPaAAAADQEAAA8AAAAAAAAA&#10;AQAgAAAAIgAAAGRycy9kb3ducmV2LnhtbFBLAQIUABQAAAAIAIdO4kAFURTZnQEAACMDAAAOAAAA&#10;AAAAAAEAIAAAACkBAABkcnMvZTJvRG9jLnhtbFBLBQYAAAAABgAGAFkBAAA4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8A8BC"/>
    <w:multiLevelType w:val="singleLevel"/>
    <w:tmpl w:val="9628A8BC"/>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suff w:val="space"/>
      <w:lvlText w:val="%1."/>
      <w:lvlJc w:val="left"/>
      <w:pPr>
        <w:ind w:left="987" w:hanging="420"/>
        <w:jc w:val="both"/>
      </w:pPr>
      <w:rPr>
        <w:w w:val="100"/>
        <w:sz w:val="28"/>
        <w:szCs w:val="28"/>
        <w:shd w:val="clear" w:color="auto" w:fill="auto"/>
      </w:rPr>
    </w:lvl>
    <w:lvl w:ilvl="1" w:tentative="0">
      <w:start w:val="1"/>
      <w:numFmt w:val="lowerLetter"/>
      <w:lvlText w:val="%2)"/>
      <w:lvlJc w:val="left"/>
      <w:pPr>
        <w:ind w:left="1407" w:hanging="420"/>
        <w:jc w:val="both"/>
      </w:pPr>
    </w:lvl>
    <w:lvl w:ilvl="2" w:tentative="0">
      <w:start w:val="1"/>
      <w:numFmt w:val="lowerRoman"/>
      <w:lvlText w:val="%3."/>
      <w:lvlJc w:val="right"/>
      <w:pPr>
        <w:ind w:left="1827" w:hanging="420"/>
        <w:jc w:val="both"/>
      </w:pPr>
    </w:lvl>
    <w:lvl w:ilvl="3" w:tentative="0">
      <w:start w:val="1"/>
      <w:numFmt w:val="decimal"/>
      <w:lvlText w:val="%4."/>
      <w:lvlJc w:val="left"/>
      <w:pPr>
        <w:ind w:left="2247" w:hanging="420"/>
        <w:jc w:val="both"/>
      </w:pPr>
    </w:lvl>
    <w:lvl w:ilvl="4" w:tentative="0">
      <w:start w:val="1"/>
      <w:numFmt w:val="lowerLetter"/>
      <w:lvlText w:val="%5)"/>
      <w:lvlJc w:val="left"/>
      <w:pPr>
        <w:ind w:left="2667" w:hanging="420"/>
        <w:jc w:val="both"/>
      </w:pPr>
    </w:lvl>
    <w:lvl w:ilvl="5" w:tentative="0">
      <w:start w:val="1"/>
      <w:numFmt w:val="lowerRoman"/>
      <w:lvlText w:val="%6."/>
      <w:lvlJc w:val="right"/>
      <w:pPr>
        <w:ind w:left="3087" w:hanging="420"/>
        <w:jc w:val="both"/>
      </w:pPr>
    </w:lvl>
    <w:lvl w:ilvl="6" w:tentative="0">
      <w:start w:val="1"/>
      <w:numFmt w:val="decimal"/>
      <w:lvlText w:val="%7."/>
      <w:lvlJc w:val="left"/>
      <w:pPr>
        <w:ind w:left="3507" w:hanging="420"/>
        <w:jc w:val="both"/>
      </w:pPr>
    </w:lvl>
    <w:lvl w:ilvl="7" w:tentative="0">
      <w:start w:val="1"/>
      <w:numFmt w:val="lowerLetter"/>
      <w:lvlText w:val="%8)"/>
      <w:lvlJc w:val="left"/>
      <w:pPr>
        <w:ind w:left="3927" w:hanging="420"/>
        <w:jc w:val="both"/>
      </w:pPr>
    </w:lvl>
    <w:lvl w:ilvl="8" w:tentative="0">
      <w:start w:val="1"/>
      <w:numFmt w:val="lowerRoman"/>
      <w:lvlText w:val="%9."/>
      <w:lvlJc w:val="right"/>
      <w:pPr>
        <w:ind w:left="4347" w:hanging="420"/>
        <w:jc w:val="both"/>
      </w:pPr>
    </w:lvl>
  </w:abstractNum>
  <w:abstractNum w:abstractNumId="2">
    <w:nsid w:val="00000002"/>
    <w:multiLevelType w:val="multilevel"/>
    <w:tmpl w:val="00000002"/>
    <w:lvl w:ilvl="0" w:tentative="0">
      <w:start w:val="1"/>
      <w:numFmt w:val="decimal"/>
      <w:suff w:val="space"/>
      <w:lvlText w:val="%1."/>
      <w:lvlJc w:val="left"/>
      <w:pPr>
        <w:ind w:left="987" w:hanging="420"/>
        <w:jc w:val="both"/>
      </w:pPr>
      <w:rPr>
        <w:w w:val="100"/>
        <w:sz w:val="28"/>
        <w:szCs w:val="28"/>
        <w:shd w:val="clear" w:color="auto" w:fill="auto"/>
      </w:rPr>
    </w:lvl>
    <w:lvl w:ilvl="1" w:tentative="0">
      <w:start w:val="1"/>
      <w:numFmt w:val="lowerLetter"/>
      <w:lvlText w:val="%2)"/>
      <w:lvlJc w:val="left"/>
      <w:pPr>
        <w:ind w:left="1407" w:hanging="420"/>
        <w:jc w:val="both"/>
      </w:pPr>
    </w:lvl>
    <w:lvl w:ilvl="2" w:tentative="0">
      <w:start w:val="1"/>
      <w:numFmt w:val="lowerRoman"/>
      <w:lvlText w:val="%3."/>
      <w:lvlJc w:val="right"/>
      <w:pPr>
        <w:ind w:left="1827" w:hanging="420"/>
        <w:jc w:val="both"/>
      </w:pPr>
    </w:lvl>
    <w:lvl w:ilvl="3" w:tentative="0">
      <w:start w:val="1"/>
      <w:numFmt w:val="decimal"/>
      <w:lvlText w:val="%4."/>
      <w:lvlJc w:val="left"/>
      <w:pPr>
        <w:ind w:left="2247" w:hanging="420"/>
        <w:jc w:val="both"/>
      </w:pPr>
    </w:lvl>
    <w:lvl w:ilvl="4" w:tentative="0">
      <w:start w:val="1"/>
      <w:numFmt w:val="lowerLetter"/>
      <w:lvlText w:val="%5)"/>
      <w:lvlJc w:val="left"/>
      <w:pPr>
        <w:ind w:left="2667" w:hanging="420"/>
        <w:jc w:val="both"/>
      </w:pPr>
    </w:lvl>
    <w:lvl w:ilvl="5" w:tentative="0">
      <w:start w:val="1"/>
      <w:numFmt w:val="lowerRoman"/>
      <w:lvlText w:val="%6."/>
      <w:lvlJc w:val="right"/>
      <w:pPr>
        <w:ind w:left="3087" w:hanging="420"/>
        <w:jc w:val="both"/>
      </w:pPr>
    </w:lvl>
    <w:lvl w:ilvl="6" w:tentative="0">
      <w:start w:val="1"/>
      <w:numFmt w:val="decimal"/>
      <w:lvlText w:val="%7."/>
      <w:lvlJc w:val="left"/>
      <w:pPr>
        <w:ind w:left="3507" w:hanging="420"/>
        <w:jc w:val="both"/>
      </w:pPr>
    </w:lvl>
    <w:lvl w:ilvl="7" w:tentative="0">
      <w:start w:val="1"/>
      <w:numFmt w:val="lowerLetter"/>
      <w:lvlText w:val="%8)"/>
      <w:lvlJc w:val="left"/>
      <w:pPr>
        <w:ind w:left="3927" w:hanging="420"/>
        <w:jc w:val="both"/>
      </w:pPr>
    </w:lvl>
    <w:lvl w:ilvl="8" w:tentative="0">
      <w:start w:val="1"/>
      <w:numFmt w:val="lowerRoman"/>
      <w:lvlText w:val="%9."/>
      <w:lvlJc w:val="right"/>
      <w:pPr>
        <w:ind w:left="4347" w:hanging="420"/>
        <w:jc w:val="both"/>
      </w:pPr>
    </w:lvl>
  </w:abstractNum>
  <w:abstractNum w:abstractNumId="3">
    <w:nsid w:val="00000007"/>
    <w:multiLevelType w:val="multilevel"/>
    <w:tmpl w:val="00000007"/>
    <w:lvl w:ilvl="0" w:tentative="0">
      <w:start w:val="1"/>
      <w:numFmt w:val="decimal"/>
      <w:lvlText w:val="%1."/>
      <w:lvlJc w:val="left"/>
      <w:pPr>
        <w:ind w:left="987" w:hanging="420"/>
        <w:jc w:val="both"/>
      </w:pPr>
    </w:lvl>
    <w:lvl w:ilvl="1" w:tentative="0">
      <w:start w:val="1"/>
      <w:numFmt w:val="lowerLetter"/>
      <w:lvlText w:val="%2)"/>
      <w:lvlJc w:val="left"/>
      <w:pPr>
        <w:ind w:left="1407" w:hanging="420"/>
        <w:jc w:val="both"/>
      </w:pPr>
    </w:lvl>
    <w:lvl w:ilvl="2" w:tentative="0">
      <w:start w:val="1"/>
      <w:numFmt w:val="lowerRoman"/>
      <w:lvlText w:val="%3."/>
      <w:lvlJc w:val="right"/>
      <w:pPr>
        <w:ind w:left="1827" w:hanging="420"/>
        <w:jc w:val="both"/>
      </w:pPr>
    </w:lvl>
    <w:lvl w:ilvl="3" w:tentative="0">
      <w:start w:val="1"/>
      <w:numFmt w:val="decimal"/>
      <w:lvlText w:val="%4."/>
      <w:lvlJc w:val="left"/>
      <w:pPr>
        <w:ind w:left="2247" w:hanging="420"/>
        <w:jc w:val="both"/>
      </w:pPr>
    </w:lvl>
    <w:lvl w:ilvl="4" w:tentative="0">
      <w:start w:val="1"/>
      <w:numFmt w:val="lowerLetter"/>
      <w:lvlText w:val="%5)"/>
      <w:lvlJc w:val="left"/>
      <w:pPr>
        <w:ind w:left="2667" w:hanging="420"/>
        <w:jc w:val="both"/>
      </w:pPr>
    </w:lvl>
    <w:lvl w:ilvl="5" w:tentative="0">
      <w:start w:val="1"/>
      <w:numFmt w:val="lowerRoman"/>
      <w:lvlText w:val="%6."/>
      <w:lvlJc w:val="right"/>
      <w:pPr>
        <w:ind w:left="3087" w:hanging="420"/>
        <w:jc w:val="both"/>
      </w:pPr>
    </w:lvl>
    <w:lvl w:ilvl="6" w:tentative="0">
      <w:start w:val="1"/>
      <w:numFmt w:val="decimal"/>
      <w:lvlText w:val="%7."/>
      <w:lvlJc w:val="left"/>
      <w:pPr>
        <w:ind w:left="3507" w:hanging="420"/>
        <w:jc w:val="both"/>
      </w:pPr>
    </w:lvl>
    <w:lvl w:ilvl="7" w:tentative="0">
      <w:start w:val="1"/>
      <w:numFmt w:val="lowerLetter"/>
      <w:lvlText w:val="%8)"/>
      <w:lvlJc w:val="left"/>
      <w:pPr>
        <w:ind w:left="3927" w:hanging="420"/>
        <w:jc w:val="both"/>
      </w:pPr>
    </w:lvl>
    <w:lvl w:ilvl="8" w:tentative="0">
      <w:start w:val="1"/>
      <w:numFmt w:val="lowerRoman"/>
      <w:lvlText w:val="%9."/>
      <w:lvlJc w:val="right"/>
      <w:pPr>
        <w:ind w:left="4347" w:hanging="420"/>
        <w:jc w:val="both"/>
      </w:pPr>
    </w:lvl>
  </w:abstractNum>
  <w:abstractNum w:abstractNumId="4">
    <w:nsid w:val="00000009"/>
    <w:multiLevelType w:val="multilevel"/>
    <w:tmpl w:val="00000009"/>
    <w:lvl w:ilvl="0" w:tentative="0">
      <w:start w:val="1"/>
      <w:numFmt w:val="japaneseCounting"/>
      <w:suff w:val="space"/>
      <w:lvlText w:val="%1、"/>
      <w:lvlJc w:val="left"/>
      <w:pPr>
        <w:ind w:left="704" w:hanging="420"/>
        <w:jc w:val="both"/>
      </w:pPr>
      <w:rPr>
        <w:w w:val="100"/>
        <w:sz w:val="28"/>
        <w:szCs w:val="28"/>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5">
    <w:nsid w:val="0000000E"/>
    <w:multiLevelType w:val="multilevel"/>
    <w:tmpl w:val="0000000E"/>
    <w:lvl w:ilvl="0" w:tentative="0">
      <w:start w:val="1"/>
      <w:numFmt w:val="japaneseCounting"/>
      <w:lvlText w:val="(%1)"/>
      <w:lvlJc w:val="left"/>
      <w:pPr>
        <w:ind w:left="420" w:hanging="420"/>
        <w:jc w:val="both"/>
      </w:pPr>
      <w:rPr>
        <w:b w:val="0"/>
        <w:w w:val="100"/>
        <w:sz w:val="28"/>
        <w:szCs w:val="28"/>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6">
    <w:nsid w:val="0000000F"/>
    <w:multiLevelType w:val="multilevel"/>
    <w:tmpl w:val="0000000F"/>
    <w:lvl w:ilvl="0" w:tentative="0">
      <w:start w:val="1"/>
      <w:numFmt w:val="japaneseCounting"/>
      <w:suff w:val="space"/>
      <w:lvlText w:val="(%1)"/>
      <w:lvlJc w:val="left"/>
      <w:pPr>
        <w:ind w:left="420" w:hanging="420"/>
        <w:jc w:val="both"/>
      </w:pPr>
      <w:rPr>
        <w:w w:val="100"/>
        <w:sz w:val="28"/>
        <w:szCs w:val="28"/>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7">
    <w:nsid w:val="00000011"/>
    <w:multiLevelType w:val="multilevel"/>
    <w:tmpl w:val="00000011"/>
    <w:lvl w:ilvl="0" w:tentative="0">
      <w:start w:val="1"/>
      <w:numFmt w:val="decimal"/>
      <w:suff w:val="space"/>
      <w:lvlText w:val="%1."/>
      <w:lvlJc w:val="left"/>
      <w:pPr>
        <w:ind w:left="360" w:hanging="360"/>
        <w:jc w:val="both"/>
      </w:pPr>
      <w:rPr>
        <w:b w:val="0"/>
        <w:w w:val="100"/>
        <w:sz w:val="28"/>
        <w:szCs w:val="28"/>
        <w:shd w:val="clear" w:color="auto" w:fill="auto"/>
      </w:rPr>
    </w:lvl>
    <w:lvl w:ilvl="1" w:tentative="0">
      <w:start w:val="1"/>
      <w:numFmt w:val="lowerLetter"/>
      <w:lvlText w:val="%2)"/>
      <w:lvlJc w:val="left"/>
      <w:pPr>
        <w:ind w:left="840" w:hanging="420"/>
        <w:jc w:val="both"/>
      </w:pPr>
      <w:rPr>
        <w:w w:val="100"/>
        <w:sz w:val="20"/>
        <w:szCs w:val="20"/>
        <w:shd w:val="clear" w:color="auto" w:fill="auto"/>
      </w:rPr>
    </w:lvl>
    <w:lvl w:ilvl="2" w:tentative="0">
      <w:start w:val="1"/>
      <w:numFmt w:val="lowerRoman"/>
      <w:lvlText w:val="%3."/>
      <w:lvlJc w:val="right"/>
      <w:pPr>
        <w:ind w:left="1260" w:hanging="420"/>
        <w:jc w:val="both"/>
      </w:pPr>
      <w:rPr>
        <w:w w:val="100"/>
        <w:sz w:val="20"/>
        <w:szCs w:val="20"/>
        <w:shd w:val="clear" w:color="auto" w:fill="auto"/>
      </w:rPr>
    </w:lvl>
    <w:lvl w:ilvl="3" w:tentative="0">
      <w:start w:val="1"/>
      <w:numFmt w:val="decimal"/>
      <w:lvlText w:val="%4."/>
      <w:lvlJc w:val="left"/>
      <w:pPr>
        <w:ind w:left="1680" w:hanging="420"/>
        <w:jc w:val="both"/>
      </w:pPr>
      <w:rPr>
        <w:w w:val="100"/>
        <w:sz w:val="20"/>
        <w:szCs w:val="20"/>
        <w:shd w:val="clear" w:color="auto" w:fill="auto"/>
      </w:rPr>
    </w:lvl>
    <w:lvl w:ilvl="4" w:tentative="0">
      <w:start w:val="1"/>
      <w:numFmt w:val="lowerLetter"/>
      <w:lvlText w:val="%5)"/>
      <w:lvlJc w:val="left"/>
      <w:pPr>
        <w:ind w:left="2100" w:hanging="420"/>
        <w:jc w:val="both"/>
      </w:pPr>
      <w:rPr>
        <w:w w:val="100"/>
        <w:sz w:val="20"/>
        <w:szCs w:val="20"/>
        <w:shd w:val="clear" w:color="auto" w:fill="auto"/>
      </w:rPr>
    </w:lvl>
    <w:lvl w:ilvl="5" w:tentative="0">
      <w:start w:val="1"/>
      <w:numFmt w:val="lowerRoman"/>
      <w:lvlText w:val="%6."/>
      <w:lvlJc w:val="right"/>
      <w:pPr>
        <w:ind w:left="2520" w:hanging="420"/>
        <w:jc w:val="both"/>
      </w:pPr>
      <w:rPr>
        <w:w w:val="100"/>
        <w:sz w:val="20"/>
        <w:szCs w:val="20"/>
        <w:shd w:val="clear" w:color="auto" w:fill="auto"/>
      </w:rPr>
    </w:lvl>
    <w:lvl w:ilvl="6" w:tentative="0">
      <w:start w:val="1"/>
      <w:numFmt w:val="decimal"/>
      <w:lvlText w:val="%7."/>
      <w:lvlJc w:val="left"/>
      <w:pPr>
        <w:ind w:left="2940" w:hanging="420"/>
        <w:jc w:val="both"/>
      </w:pPr>
      <w:rPr>
        <w:w w:val="100"/>
        <w:sz w:val="20"/>
        <w:szCs w:val="20"/>
        <w:shd w:val="clear" w:color="auto" w:fill="auto"/>
      </w:rPr>
    </w:lvl>
    <w:lvl w:ilvl="7" w:tentative="0">
      <w:start w:val="1"/>
      <w:numFmt w:val="lowerLetter"/>
      <w:lvlText w:val="%8)"/>
      <w:lvlJc w:val="left"/>
      <w:pPr>
        <w:ind w:left="3360" w:hanging="420"/>
        <w:jc w:val="both"/>
      </w:pPr>
      <w:rPr>
        <w:w w:val="100"/>
        <w:sz w:val="20"/>
        <w:szCs w:val="20"/>
        <w:shd w:val="clear" w:color="auto" w:fill="auto"/>
      </w:rPr>
    </w:lvl>
    <w:lvl w:ilvl="8" w:tentative="0">
      <w:start w:val="1"/>
      <w:numFmt w:val="lowerRoman"/>
      <w:lvlText w:val="%9."/>
      <w:lvlJc w:val="right"/>
      <w:pPr>
        <w:ind w:left="3780" w:hanging="420"/>
        <w:jc w:val="both"/>
      </w:pPr>
      <w:rPr>
        <w:w w:val="100"/>
        <w:sz w:val="20"/>
        <w:szCs w:val="20"/>
        <w:shd w:val="clear" w:color="auto" w:fill="auto"/>
      </w:rPr>
    </w:lvl>
  </w:abstractNum>
  <w:abstractNum w:abstractNumId="8">
    <w:nsid w:val="00000012"/>
    <w:multiLevelType w:val="multilevel"/>
    <w:tmpl w:val="00000012"/>
    <w:lvl w:ilvl="0" w:tentative="0">
      <w:start w:val="1"/>
      <w:numFmt w:val="japaneseCounting"/>
      <w:lvlText w:val="(%1)"/>
      <w:lvlJc w:val="left"/>
      <w:pPr>
        <w:ind w:left="420" w:hanging="420"/>
        <w:jc w:val="both"/>
      </w:p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9">
    <w:nsid w:val="00000013"/>
    <w:multiLevelType w:val="multilevel"/>
    <w:tmpl w:val="00000013"/>
    <w:lvl w:ilvl="0" w:tentative="0">
      <w:start w:val="1"/>
      <w:numFmt w:val="japaneseCounting"/>
      <w:lvlText w:val="(%1)"/>
      <w:lvlJc w:val="left"/>
      <w:pPr>
        <w:ind w:left="420" w:hanging="420"/>
        <w:jc w:val="both"/>
      </w:p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10">
    <w:nsid w:val="093313F9"/>
    <w:multiLevelType w:val="multilevel"/>
    <w:tmpl w:val="093313F9"/>
    <w:lvl w:ilvl="0" w:tentative="0">
      <w:start w:val="1"/>
      <w:numFmt w:val="decimal"/>
      <w:suff w:val="space"/>
      <w:lvlText w:val="%1."/>
      <w:lvlJc w:val="left"/>
      <w:pPr>
        <w:ind w:left="986" w:hanging="420"/>
      </w:pPr>
      <w:rPr>
        <w:rFonts w:hint="eastAsia"/>
      </w:rPr>
    </w:lvl>
    <w:lvl w:ilvl="1" w:tentative="0">
      <w:start w:val="1"/>
      <w:numFmt w:val="lowerLetter"/>
      <w:lvlText w:val="%2)"/>
      <w:lvlJc w:val="left"/>
      <w:pPr>
        <w:ind w:left="1406" w:hanging="420"/>
      </w:pPr>
      <w:rPr>
        <w:rFonts w:hint="eastAsia"/>
      </w:rPr>
    </w:lvl>
    <w:lvl w:ilvl="2" w:tentative="0">
      <w:start w:val="1"/>
      <w:numFmt w:val="lowerRoman"/>
      <w:lvlText w:val="%3."/>
      <w:lvlJc w:val="right"/>
      <w:pPr>
        <w:ind w:left="1826" w:hanging="420"/>
      </w:pPr>
      <w:rPr>
        <w:rFonts w:hint="eastAsia"/>
      </w:rPr>
    </w:lvl>
    <w:lvl w:ilvl="3" w:tentative="0">
      <w:start w:val="1"/>
      <w:numFmt w:val="decimal"/>
      <w:lvlText w:val="%4."/>
      <w:lvlJc w:val="left"/>
      <w:pPr>
        <w:ind w:left="2246" w:hanging="420"/>
      </w:pPr>
      <w:rPr>
        <w:rFonts w:hint="eastAsia"/>
      </w:rPr>
    </w:lvl>
    <w:lvl w:ilvl="4" w:tentative="0">
      <w:start w:val="1"/>
      <w:numFmt w:val="lowerLetter"/>
      <w:lvlText w:val="%5)"/>
      <w:lvlJc w:val="left"/>
      <w:pPr>
        <w:ind w:left="2666" w:hanging="420"/>
      </w:pPr>
      <w:rPr>
        <w:rFonts w:hint="eastAsia"/>
      </w:rPr>
    </w:lvl>
    <w:lvl w:ilvl="5" w:tentative="0">
      <w:start w:val="1"/>
      <w:numFmt w:val="lowerRoman"/>
      <w:lvlText w:val="%6."/>
      <w:lvlJc w:val="right"/>
      <w:pPr>
        <w:ind w:left="3086" w:hanging="420"/>
      </w:pPr>
      <w:rPr>
        <w:rFonts w:hint="eastAsia"/>
      </w:rPr>
    </w:lvl>
    <w:lvl w:ilvl="6" w:tentative="0">
      <w:start w:val="1"/>
      <w:numFmt w:val="decimal"/>
      <w:lvlText w:val="%7."/>
      <w:lvlJc w:val="left"/>
      <w:pPr>
        <w:ind w:left="3506" w:hanging="420"/>
      </w:pPr>
      <w:rPr>
        <w:rFonts w:hint="eastAsia"/>
      </w:rPr>
    </w:lvl>
    <w:lvl w:ilvl="7" w:tentative="0">
      <w:start w:val="1"/>
      <w:numFmt w:val="lowerLetter"/>
      <w:lvlText w:val="%8)"/>
      <w:lvlJc w:val="left"/>
      <w:pPr>
        <w:ind w:left="3926" w:hanging="420"/>
      </w:pPr>
      <w:rPr>
        <w:rFonts w:hint="eastAsia"/>
      </w:rPr>
    </w:lvl>
    <w:lvl w:ilvl="8" w:tentative="0">
      <w:start w:val="1"/>
      <w:numFmt w:val="lowerRoman"/>
      <w:lvlText w:val="%9."/>
      <w:lvlJc w:val="right"/>
      <w:pPr>
        <w:ind w:left="4346" w:hanging="420"/>
      </w:pPr>
      <w:rPr>
        <w:rFonts w:hint="eastAsia"/>
      </w:rPr>
    </w:lvl>
  </w:abstractNum>
  <w:abstractNum w:abstractNumId="11">
    <w:nsid w:val="207C749D"/>
    <w:multiLevelType w:val="multilevel"/>
    <w:tmpl w:val="207C749D"/>
    <w:lvl w:ilvl="0" w:tentative="0">
      <w:start w:val="1"/>
      <w:numFmt w:val="decimal"/>
      <w:suff w:val="space"/>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62077C6A"/>
    <w:multiLevelType w:val="multilevel"/>
    <w:tmpl w:val="62077C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0"/>
  </w:num>
  <w:num w:numId="3">
    <w:abstractNumId w:val="5"/>
  </w:num>
  <w:num w:numId="4">
    <w:abstractNumId w:val="0"/>
  </w:num>
  <w:num w:numId="5">
    <w:abstractNumId w:val="3"/>
  </w:num>
  <w:num w:numId="6">
    <w:abstractNumId w:val="9"/>
  </w:num>
  <w:num w:numId="7">
    <w:abstractNumId w:val="1"/>
  </w:num>
  <w:num w:numId="8">
    <w:abstractNumId w:val="12"/>
  </w:num>
  <w:num w:numId="9">
    <w:abstractNumId w:val="6"/>
  </w:num>
  <w:num w:numId="10">
    <w:abstractNumId w:val="7"/>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24"/>
    <w:rsid w:val="00131D78"/>
    <w:rsid w:val="001E1D7A"/>
    <w:rsid w:val="002018D0"/>
    <w:rsid w:val="002D3AC7"/>
    <w:rsid w:val="00383F4B"/>
    <w:rsid w:val="003B6057"/>
    <w:rsid w:val="003C6725"/>
    <w:rsid w:val="004A26A4"/>
    <w:rsid w:val="005066BC"/>
    <w:rsid w:val="00621AE2"/>
    <w:rsid w:val="0067206D"/>
    <w:rsid w:val="00742EA7"/>
    <w:rsid w:val="008939B6"/>
    <w:rsid w:val="008B7A3C"/>
    <w:rsid w:val="009610C1"/>
    <w:rsid w:val="009A1C86"/>
    <w:rsid w:val="00A15461"/>
    <w:rsid w:val="00AB4E12"/>
    <w:rsid w:val="00B27CFD"/>
    <w:rsid w:val="00BC3C14"/>
    <w:rsid w:val="00BC6E24"/>
    <w:rsid w:val="00C050E2"/>
    <w:rsid w:val="00C829CB"/>
    <w:rsid w:val="00C90CB1"/>
    <w:rsid w:val="00C92079"/>
    <w:rsid w:val="00CF59FD"/>
    <w:rsid w:val="00D76031"/>
    <w:rsid w:val="00DE3BE6"/>
    <w:rsid w:val="00DF5C60"/>
    <w:rsid w:val="00E05281"/>
    <w:rsid w:val="00F8541B"/>
    <w:rsid w:val="01046E42"/>
    <w:rsid w:val="025F3774"/>
    <w:rsid w:val="0348646A"/>
    <w:rsid w:val="06A267BD"/>
    <w:rsid w:val="06C410B7"/>
    <w:rsid w:val="06EC78ED"/>
    <w:rsid w:val="0D9E0AD6"/>
    <w:rsid w:val="1176694E"/>
    <w:rsid w:val="136D364F"/>
    <w:rsid w:val="15235401"/>
    <w:rsid w:val="16DF16F1"/>
    <w:rsid w:val="17137F1C"/>
    <w:rsid w:val="17D34CF2"/>
    <w:rsid w:val="1AC81A70"/>
    <w:rsid w:val="1C3527F8"/>
    <w:rsid w:val="2060534F"/>
    <w:rsid w:val="217B24F9"/>
    <w:rsid w:val="253E0598"/>
    <w:rsid w:val="2640764D"/>
    <w:rsid w:val="27555844"/>
    <w:rsid w:val="286764A5"/>
    <w:rsid w:val="28980DE3"/>
    <w:rsid w:val="29A84130"/>
    <w:rsid w:val="2B460E45"/>
    <w:rsid w:val="2B771594"/>
    <w:rsid w:val="2EE138A6"/>
    <w:rsid w:val="2F017556"/>
    <w:rsid w:val="2F787240"/>
    <w:rsid w:val="30A74FD8"/>
    <w:rsid w:val="320A7365"/>
    <w:rsid w:val="32A56C8A"/>
    <w:rsid w:val="34DC2DAA"/>
    <w:rsid w:val="37A71CCB"/>
    <w:rsid w:val="398E35CC"/>
    <w:rsid w:val="3AD248A0"/>
    <w:rsid w:val="3E73670C"/>
    <w:rsid w:val="40AF2251"/>
    <w:rsid w:val="41062356"/>
    <w:rsid w:val="4165180B"/>
    <w:rsid w:val="41A2288B"/>
    <w:rsid w:val="423020FB"/>
    <w:rsid w:val="42960059"/>
    <w:rsid w:val="42986E60"/>
    <w:rsid w:val="440D68D0"/>
    <w:rsid w:val="44335E01"/>
    <w:rsid w:val="450A2C09"/>
    <w:rsid w:val="450A4437"/>
    <w:rsid w:val="45814BAE"/>
    <w:rsid w:val="45F7026B"/>
    <w:rsid w:val="472A311D"/>
    <w:rsid w:val="47625554"/>
    <w:rsid w:val="498F0318"/>
    <w:rsid w:val="49EE27AB"/>
    <w:rsid w:val="4B4217B4"/>
    <w:rsid w:val="4E4A788D"/>
    <w:rsid w:val="501E43AF"/>
    <w:rsid w:val="507D69C2"/>
    <w:rsid w:val="5110384F"/>
    <w:rsid w:val="52D729C4"/>
    <w:rsid w:val="55AD3950"/>
    <w:rsid w:val="5715380C"/>
    <w:rsid w:val="57270159"/>
    <w:rsid w:val="58676032"/>
    <w:rsid w:val="58FB78DA"/>
    <w:rsid w:val="5951760F"/>
    <w:rsid w:val="59ED7B88"/>
    <w:rsid w:val="5A621907"/>
    <w:rsid w:val="5BDD1D77"/>
    <w:rsid w:val="5DB461B0"/>
    <w:rsid w:val="5EBE5112"/>
    <w:rsid w:val="5F744FCB"/>
    <w:rsid w:val="6942078B"/>
    <w:rsid w:val="6E6D557B"/>
    <w:rsid w:val="73F46B36"/>
    <w:rsid w:val="74423771"/>
    <w:rsid w:val="744C5974"/>
    <w:rsid w:val="77186DB7"/>
    <w:rsid w:val="798A0E72"/>
    <w:rsid w:val="7AE67CCD"/>
    <w:rsid w:val="7B7E442E"/>
    <w:rsid w:val="7BC156DA"/>
    <w:rsid w:val="7BF6609C"/>
    <w:rsid w:val="7D595995"/>
    <w:rsid w:val="7DAC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68"/>
      <w:ind w:left="1104"/>
      <w:outlineLvl w:val="0"/>
    </w:pPr>
    <w:rPr>
      <w:rFonts w:ascii="Microsoft JhengHei" w:hAnsi="Microsoft JhengHei" w:eastAsia="Microsoft JhengHei" w:cs="Microsoft JhengHei"/>
      <w:b/>
      <w:bCs/>
      <w:sz w:val="36"/>
      <w:szCs w:val="36"/>
    </w:rPr>
  </w:style>
  <w:style w:type="paragraph" w:styleId="3">
    <w:name w:val="heading 2"/>
    <w:basedOn w:val="1"/>
    <w:next w:val="1"/>
    <w:qFormat/>
    <w:uiPriority w:val="1"/>
    <w:pPr>
      <w:ind w:left="660"/>
      <w:outlineLvl w:val="1"/>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101"/>
      <w:outlineLvl w:val="2"/>
    </w:pPr>
    <w:rPr>
      <w:rFonts w:ascii="Microsoft JhengHei" w:hAnsi="Microsoft JhengHei" w:eastAsia="Microsoft JhengHei" w:cs="Microsoft JhengHei"/>
      <w:b/>
      <w:bCs/>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pPr>
      <w:spacing w:before="231"/>
      <w:ind w:left="101"/>
    </w:pPr>
    <w:rPr>
      <w:sz w:val="30"/>
      <w:szCs w:val="30"/>
    </w:rPr>
  </w:style>
  <w:style w:type="paragraph" w:styleId="6">
    <w:name w:val="Balloon Text"/>
    <w:basedOn w:val="1"/>
    <w:link w:val="19"/>
    <w:semiHidden/>
    <w:unhideWhenUsed/>
    <w:qFormat/>
    <w:uiPriority w:val="99"/>
    <w:rPr>
      <w:sz w:val="18"/>
      <w:szCs w:val="18"/>
    </w:rPr>
  </w:style>
  <w:style w:type="paragraph" w:styleId="7">
    <w:name w:val="Normal (Web)"/>
    <w:basedOn w:val="1"/>
    <w:unhideWhenUsed/>
    <w:qFormat/>
    <w:uiPriority w:val="99"/>
    <w:pPr>
      <w:widowControl/>
    </w:pPr>
    <w:rPr>
      <w:sz w:val="24"/>
      <w:szCs w:val="24"/>
    </w:rPr>
  </w:style>
  <w:style w:type="paragraph" w:styleId="8">
    <w:name w:val="Title"/>
    <w:basedOn w:val="1"/>
    <w:next w:val="1"/>
    <w:qFormat/>
    <w:uiPriority w:val="6"/>
    <w:pPr>
      <w:widowControl/>
      <w:jc w:val="center"/>
    </w:pPr>
    <w:rPr>
      <w:rFonts w:ascii="Calibri Light" w:hAnsi="Calibri Light" w:eastAsia="Times New Roman"/>
      <w:b/>
      <w:sz w:val="32"/>
      <w:szCs w:val="3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20"/>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table" w:customStyle="1" w:styleId="14">
    <w:name w:val="Table Normal"/>
    <w:semiHidden/>
    <w:unhideWhenUsed/>
    <w:qFormat/>
    <w:uiPriority w:val="2"/>
    <w:tblPr>
      <w:tblLayout w:type="fixed"/>
      <w:tblCellMar>
        <w:top w:w="0" w:type="dxa"/>
        <w:left w:w="0" w:type="dxa"/>
        <w:bottom w:w="0" w:type="dxa"/>
        <w:right w:w="0" w:type="dxa"/>
      </w:tblCellMar>
    </w:tblPr>
  </w:style>
  <w:style w:type="paragraph" w:styleId="15">
    <w:name w:val="List Paragraph"/>
    <w:basedOn w:val="1"/>
    <w:qFormat/>
    <w:uiPriority w:val="1"/>
    <w:pPr>
      <w:spacing w:before="54"/>
      <w:ind w:left="101" w:firstLine="567"/>
    </w:pPr>
  </w:style>
  <w:style w:type="paragraph" w:customStyle="1" w:styleId="16">
    <w:name w:val="Table Paragraph"/>
    <w:basedOn w:val="1"/>
    <w:qFormat/>
    <w:uiPriority w:val="1"/>
    <w:pPr>
      <w:jc w:val="center"/>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99"/>
    <w:pPr>
      <w:ind w:firstLine="420" w:firstLineChars="200"/>
    </w:pPr>
  </w:style>
  <w:style w:type="character" w:customStyle="1" w:styleId="19">
    <w:name w:val="批注框文本 Char"/>
    <w:basedOn w:val="11"/>
    <w:link w:val="6"/>
    <w:semiHidden/>
    <w:qFormat/>
    <w:uiPriority w:val="99"/>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1860</Words>
  <Characters>10608</Characters>
  <Lines>88</Lines>
  <Paragraphs>24</Paragraphs>
  <TotalTime>38</TotalTime>
  <ScaleCrop>false</ScaleCrop>
  <LinksUpToDate>false</LinksUpToDate>
  <CharactersWithSpaces>12444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2018-06-01T09:25:00Z</dcterms:created>
  <dc:creator>微软中国</dc:creator>
  <cp:lastModifiedBy>修儿</cp:lastModifiedBy>
  <cp:lastPrinted>2019-04-04T03:24:00Z</cp:lastPrinted>
  <dcterms:modified xsi:type="dcterms:W3CDTF">2019-04-10T01:39:38Z</dcterms:modified>
  <dc:title>中国建设教育协会发文</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WPS Office</vt:lpwstr>
  </property>
  <property fmtid="{D5CDD505-2E9C-101B-9397-08002B2CF9AE}" pid="4" name="LastSaved">
    <vt:filetime>2018-06-01T00:00:00Z</vt:filetime>
  </property>
  <property fmtid="{D5CDD505-2E9C-101B-9397-08002B2CF9AE}" pid="5" name="KSOProductBuildVer">
    <vt:lpwstr>2052-11.1.0.8567</vt:lpwstr>
  </property>
</Properties>
</file>